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FE" w:rsidRPr="00615444" w:rsidRDefault="00D579FE" w:rsidP="00615444">
      <w:pPr>
        <w:pStyle w:val="Heading1"/>
        <w:rPr>
          <w:rFonts w:ascii="Verdana" w:hAnsi="Verdana"/>
          <w:b w:val="0"/>
          <w:color w:val="auto"/>
          <w:sz w:val="20"/>
          <w:szCs w:val="20"/>
        </w:rPr>
      </w:pPr>
      <w:bookmarkStart w:id="0" w:name="_GoBack"/>
      <w:bookmarkEnd w:id="0"/>
      <w:r w:rsidRPr="00615444">
        <w:rPr>
          <w:rFonts w:ascii="Verdana" w:hAnsi="Verdana"/>
          <w:b w:val="0"/>
          <w:color w:val="auto"/>
          <w:sz w:val="20"/>
          <w:szCs w:val="20"/>
        </w:rPr>
        <w:t>1</w:t>
      </w:r>
      <w:r w:rsidR="002A5E14" w:rsidRPr="00615444">
        <w:rPr>
          <w:rFonts w:ascii="Verdana" w:hAnsi="Verdana"/>
          <w:b w:val="0"/>
          <w:color w:val="auto"/>
          <w:sz w:val="20"/>
          <w:szCs w:val="20"/>
        </w:rPr>
        <w:t>5</w:t>
      </w:r>
      <w:r w:rsidRPr="00615444">
        <w:rPr>
          <w:rFonts w:ascii="Verdana" w:hAnsi="Verdana"/>
          <w:b w:val="0"/>
          <w:color w:val="auto"/>
          <w:sz w:val="20"/>
          <w:szCs w:val="20"/>
        </w:rPr>
        <w:t xml:space="preserve"> </w:t>
      </w:r>
      <w:proofErr w:type="spellStart"/>
      <w:r w:rsidR="00DE6B30" w:rsidRPr="00615444">
        <w:rPr>
          <w:rFonts w:ascii="Verdana" w:hAnsi="Verdana"/>
          <w:b w:val="0"/>
          <w:color w:val="auto"/>
          <w:sz w:val="20"/>
          <w:szCs w:val="20"/>
        </w:rPr>
        <w:t>Februarie</w:t>
      </w:r>
      <w:proofErr w:type="spellEnd"/>
      <w:r w:rsidRPr="00615444">
        <w:rPr>
          <w:rFonts w:ascii="Verdana" w:hAnsi="Verdana"/>
          <w:b w:val="0"/>
          <w:color w:val="auto"/>
          <w:sz w:val="20"/>
          <w:szCs w:val="20"/>
        </w:rPr>
        <w:t xml:space="preserve"> 201</w:t>
      </w:r>
      <w:r w:rsidR="000A2D4C" w:rsidRPr="00615444">
        <w:rPr>
          <w:rFonts w:ascii="Verdana" w:hAnsi="Verdana"/>
          <w:b w:val="0"/>
          <w:color w:val="auto"/>
          <w:sz w:val="20"/>
          <w:szCs w:val="20"/>
        </w:rPr>
        <w:t>8</w:t>
      </w:r>
      <w:r w:rsidRPr="00615444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873433" w:rsidRPr="00615444">
        <w:rPr>
          <w:rFonts w:ascii="Verdana" w:hAnsi="Verdana"/>
          <w:b w:val="0"/>
          <w:color w:val="auto"/>
          <w:sz w:val="20"/>
          <w:szCs w:val="20"/>
        </w:rPr>
        <w:t xml:space="preserve">     </w:t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ab/>
        <w:t xml:space="preserve">  </w:t>
      </w:r>
      <w:r w:rsidR="00873433" w:rsidRPr="00615444">
        <w:rPr>
          <w:rFonts w:ascii="Verdana" w:hAnsi="Verdana"/>
          <w:b w:val="0"/>
          <w:color w:val="auto"/>
          <w:sz w:val="20"/>
          <w:szCs w:val="20"/>
        </w:rPr>
        <w:t xml:space="preserve">  </w:t>
      </w:r>
      <w:r w:rsidRPr="00615444">
        <w:rPr>
          <w:rFonts w:ascii="Verdana" w:hAnsi="Verdana"/>
          <w:b w:val="0"/>
          <w:color w:val="auto"/>
          <w:sz w:val="20"/>
          <w:szCs w:val="20"/>
        </w:rPr>
        <w:t xml:space="preserve">Contact: </w:t>
      </w:r>
      <w:r w:rsidR="003F1CA7" w:rsidRPr="00615444">
        <w:rPr>
          <w:rFonts w:ascii="Verdana" w:hAnsi="Verdana"/>
          <w:b w:val="0"/>
          <w:color w:val="auto"/>
          <w:sz w:val="20"/>
          <w:szCs w:val="20"/>
        </w:rPr>
        <w:t xml:space="preserve">Bogdan </w:t>
      </w:r>
      <w:proofErr w:type="spellStart"/>
      <w:r w:rsidR="003F1CA7" w:rsidRPr="00615444">
        <w:rPr>
          <w:rFonts w:ascii="Verdana" w:hAnsi="Verdana"/>
          <w:b w:val="0"/>
          <w:color w:val="auto"/>
          <w:sz w:val="20"/>
          <w:szCs w:val="20"/>
        </w:rPr>
        <w:t>Urzică</w:t>
      </w:r>
      <w:proofErr w:type="spellEnd"/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="003A3842" w:rsidRPr="00615444">
        <w:rPr>
          <w:rFonts w:ascii="Verdana" w:hAnsi="Verdana"/>
          <w:b w:val="0"/>
          <w:color w:val="auto"/>
          <w:sz w:val="20"/>
          <w:szCs w:val="20"/>
        </w:rPr>
        <w:tab/>
      </w:r>
      <w:r w:rsidRPr="00615444">
        <w:rPr>
          <w:rFonts w:ascii="Verdana" w:hAnsi="Verdana"/>
          <w:b w:val="0"/>
          <w:color w:val="auto"/>
          <w:sz w:val="20"/>
          <w:szCs w:val="20"/>
        </w:rPr>
        <w:t xml:space="preserve">Tel: </w:t>
      </w:r>
      <w:r w:rsidRPr="00615444">
        <w:rPr>
          <w:rFonts w:ascii="Verdana" w:hAnsi="Verdana" w:cs="Tahoma"/>
          <w:b w:val="0"/>
          <w:color w:val="auto"/>
          <w:sz w:val="20"/>
          <w:szCs w:val="20"/>
        </w:rPr>
        <w:t>0</w:t>
      </w:r>
      <w:r w:rsidRPr="00615444">
        <w:rPr>
          <w:rFonts w:ascii="Verdana" w:hAnsi="Verdana"/>
          <w:b w:val="0"/>
          <w:noProof/>
          <w:color w:val="auto"/>
          <w:sz w:val="20"/>
          <w:szCs w:val="20"/>
        </w:rPr>
        <w:t>21/</w:t>
      </w:r>
      <w:r w:rsidR="003A3842" w:rsidRPr="00615444">
        <w:rPr>
          <w:rFonts w:ascii="Verdana" w:hAnsi="Verdana"/>
          <w:b w:val="0"/>
          <w:noProof/>
          <w:color w:val="auto"/>
          <w:sz w:val="20"/>
          <w:szCs w:val="20"/>
        </w:rPr>
        <w:t>305.77.45</w:t>
      </w:r>
    </w:p>
    <w:p w:rsidR="00517342" w:rsidRPr="003A3842" w:rsidRDefault="00517342" w:rsidP="00D579FE">
      <w:pPr>
        <w:jc w:val="both"/>
        <w:rPr>
          <w:rFonts w:ascii="Verdana" w:hAnsi="Verdana" w:cs="Arial"/>
          <w:b/>
          <w:sz w:val="20"/>
          <w:szCs w:val="20"/>
          <w:lang w:val="en-GB"/>
        </w:rPr>
      </w:pPr>
    </w:p>
    <w:p w:rsidR="00D579FE" w:rsidRPr="003A3842" w:rsidRDefault="00F80C0E" w:rsidP="00D579FE">
      <w:pPr>
        <w:jc w:val="both"/>
        <w:rPr>
          <w:rFonts w:ascii="Verdana" w:hAnsi="Verdana" w:cs="Arial"/>
          <w:b/>
          <w:sz w:val="20"/>
          <w:szCs w:val="20"/>
          <w:lang w:val="ro-RO"/>
        </w:rPr>
      </w:pPr>
      <w:proofErr w:type="spellStart"/>
      <w:r w:rsidRPr="003A3842">
        <w:rPr>
          <w:rFonts w:ascii="Verdana" w:hAnsi="Verdana" w:cs="Arial"/>
          <w:b/>
          <w:sz w:val="20"/>
          <w:szCs w:val="20"/>
          <w:lang w:val="en-GB"/>
        </w:rPr>
        <w:t>Rompetrol</w:t>
      </w:r>
      <w:proofErr w:type="spellEnd"/>
      <w:r w:rsidRPr="003A3842">
        <w:rPr>
          <w:rFonts w:ascii="Verdana" w:hAnsi="Verdana" w:cs="Arial"/>
          <w:b/>
          <w:sz w:val="20"/>
          <w:szCs w:val="20"/>
          <w:lang w:val="en-GB"/>
        </w:rPr>
        <w:t xml:space="preserve"> Rafinare</w:t>
      </w:r>
      <w:r w:rsidR="002A5E14" w:rsidRPr="003A3842">
        <w:rPr>
          <w:rFonts w:ascii="Verdana" w:hAnsi="Verdana" w:cs="Arial"/>
          <w:b/>
          <w:sz w:val="20"/>
          <w:szCs w:val="20"/>
          <w:lang w:val="en-GB"/>
        </w:rPr>
        <w:t>, p</w:t>
      </w:r>
      <w:r w:rsidR="002875E0" w:rsidRPr="003A3842">
        <w:rPr>
          <w:rFonts w:ascii="Verdana" w:hAnsi="Verdana" w:cs="Arial"/>
          <w:b/>
          <w:sz w:val="20"/>
          <w:szCs w:val="20"/>
          <w:lang w:val="en-GB"/>
        </w:rPr>
        <w:t xml:space="preserve">rofit </w:t>
      </w:r>
      <w:r w:rsidR="000A2D4C" w:rsidRPr="003A3842">
        <w:rPr>
          <w:rFonts w:ascii="Verdana" w:hAnsi="Verdana" w:cs="Arial"/>
          <w:b/>
          <w:sz w:val="20"/>
          <w:szCs w:val="20"/>
          <w:lang w:val="en-GB"/>
        </w:rPr>
        <w:t>net</w:t>
      </w:r>
      <w:r w:rsidR="003A0FB4" w:rsidRPr="003A3842">
        <w:rPr>
          <w:rFonts w:ascii="Verdana" w:hAnsi="Verdana" w:cs="Arial"/>
          <w:b/>
          <w:sz w:val="20"/>
          <w:szCs w:val="20"/>
          <w:lang w:val="en-GB"/>
        </w:rPr>
        <w:t xml:space="preserve"> </w:t>
      </w:r>
      <w:proofErr w:type="spellStart"/>
      <w:r w:rsidR="00AD7394">
        <w:rPr>
          <w:rFonts w:ascii="Verdana" w:hAnsi="Verdana" w:cs="Arial"/>
          <w:b/>
          <w:sz w:val="20"/>
          <w:szCs w:val="20"/>
          <w:lang w:val="en-GB"/>
        </w:rPr>
        <w:t>consolidat</w:t>
      </w:r>
      <w:proofErr w:type="spellEnd"/>
      <w:r w:rsidR="00AD7394">
        <w:rPr>
          <w:rFonts w:ascii="Verdana" w:hAnsi="Verdana" w:cs="Arial"/>
          <w:b/>
          <w:sz w:val="20"/>
          <w:szCs w:val="20"/>
          <w:lang w:val="en-GB"/>
        </w:rPr>
        <w:t>*</w:t>
      </w:r>
      <w:r w:rsidR="000A2D4C" w:rsidRPr="003A3842">
        <w:rPr>
          <w:rFonts w:ascii="Verdana" w:hAnsi="Verdana" w:cs="Arial"/>
          <w:b/>
          <w:sz w:val="20"/>
          <w:szCs w:val="20"/>
          <w:lang w:val="en-GB"/>
        </w:rPr>
        <w:t xml:space="preserve"> de 22 </w:t>
      </w:r>
      <w:proofErr w:type="spellStart"/>
      <w:r w:rsidR="002A5E14" w:rsidRPr="003A3842">
        <w:rPr>
          <w:rFonts w:ascii="Verdana" w:hAnsi="Verdana" w:cs="Arial"/>
          <w:b/>
          <w:sz w:val="20"/>
          <w:szCs w:val="20"/>
          <w:lang w:val="en-GB"/>
        </w:rPr>
        <w:t>milioane</w:t>
      </w:r>
      <w:proofErr w:type="spellEnd"/>
      <w:r w:rsidR="002A5E14" w:rsidRPr="003A3842">
        <w:rPr>
          <w:rFonts w:ascii="Verdana" w:hAnsi="Verdana" w:cs="Arial"/>
          <w:b/>
          <w:sz w:val="20"/>
          <w:szCs w:val="20"/>
          <w:lang w:val="en-GB"/>
        </w:rPr>
        <w:t xml:space="preserve"> USD </w:t>
      </w:r>
      <w:r w:rsidR="000A2D4C" w:rsidRPr="003A3842">
        <w:rPr>
          <w:rFonts w:ascii="Verdana" w:hAnsi="Verdana" w:cs="Arial"/>
          <w:b/>
          <w:sz w:val="20"/>
          <w:szCs w:val="20"/>
          <w:lang w:val="ro-RO"/>
        </w:rPr>
        <w:t>și recorduri istorice de producție în 2017</w:t>
      </w:r>
    </w:p>
    <w:tbl>
      <w:tblPr>
        <w:tblStyle w:val="TableGrid"/>
        <w:tblpPr w:leftFromText="180" w:rightFromText="180" w:vertAnchor="text" w:horzAnchor="margin" w:tblpXSpec="center" w:tblpY="185"/>
        <w:tblW w:w="9929" w:type="dxa"/>
        <w:tblLook w:val="04A0" w:firstRow="1" w:lastRow="0" w:firstColumn="1" w:lastColumn="0" w:noHBand="0" w:noVBand="1"/>
      </w:tblPr>
      <w:tblGrid>
        <w:gridCol w:w="3964"/>
        <w:gridCol w:w="851"/>
        <w:gridCol w:w="1970"/>
        <w:gridCol w:w="1999"/>
        <w:gridCol w:w="1145"/>
      </w:tblGrid>
      <w:tr w:rsidR="003A3842" w:rsidRPr="003A3842" w:rsidTr="00615444">
        <w:trPr>
          <w:trHeight w:val="2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AD7394" w:rsidP="00754BA0">
            <w:pPr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 w:rsidR="0042572A" w:rsidRPr="003A3842">
              <w:rPr>
                <w:rFonts w:ascii="Verdana" w:hAnsi="Verdana"/>
                <w:b/>
                <w:sz w:val="20"/>
                <w:szCs w:val="20"/>
              </w:rPr>
              <w:t>Consolidat</w:t>
            </w:r>
            <w:proofErr w:type="spellEnd"/>
            <w:r w:rsidR="00B5143E" w:rsidRPr="003A3842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754BA0">
            <w:pPr>
              <w:jc w:val="center"/>
              <w:rPr>
                <w:rFonts w:ascii="Verdana" w:hAnsi="Verdana" w:cs="Verdana,Bold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333A09" w:rsidP="00285AB6">
            <w:pPr>
              <w:jc w:val="center"/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</w:pPr>
            <w:r w:rsidRPr="003A3842"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  <w:t>2017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333A09" w:rsidP="00285AB6">
            <w:pPr>
              <w:jc w:val="center"/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</w:pPr>
            <w:r w:rsidRPr="003A3842"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  <w:t>2016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754BA0" w:rsidP="00285AB6">
            <w:pPr>
              <w:jc w:val="center"/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</w:pPr>
            <w:r w:rsidRPr="003A3842">
              <w:rPr>
                <w:rFonts w:ascii="Verdana" w:hAnsi="Verdana" w:cs="Verdana,BoldItalic"/>
                <w:b/>
                <w:bCs/>
                <w:iCs/>
                <w:sz w:val="20"/>
                <w:szCs w:val="20"/>
              </w:rPr>
              <w:t>%</w:t>
            </w:r>
          </w:p>
        </w:tc>
      </w:tr>
      <w:tr w:rsidR="003A3842" w:rsidRPr="003A3842" w:rsidTr="00615444">
        <w:trPr>
          <w:trHeight w:val="24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09" w:rsidRPr="003A3842" w:rsidRDefault="00333A09" w:rsidP="00333A09">
            <w:pPr>
              <w:rPr>
                <w:rFonts w:ascii="Verdana" w:hAnsi="Verdana" w:cs="Verdana,BoldItalic"/>
                <w:bCs/>
                <w:iCs/>
                <w:sz w:val="20"/>
                <w:szCs w:val="20"/>
                <w:lang w:val="ro-RO"/>
              </w:rPr>
            </w:pPr>
            <w:proofErr w:type="spellStart"/>
            <w:r w:rsidRPr="003A3842">
              <w:rPr>
                <w:rFonts w:ascii="Verdana" w:hAnsi="Verdana" w:cs="Verdana"/>
                <w:sz w:val="20"/>
                <w:szCs w:val="20"/>
              </w:rPr>
              <w:t>Cifra</w:t>
            </w:r>
            <w:proofErr w:type="spellEnd"/>
            <w:r w:rsidRPr="003A3842">
              <w:rPr>
                <w:rFonts w:ascii="Verdana" w:hAnsi="Verdana" w:cs="Verdana"/>
                <w:sz w:val="20"/>
                <w:szCs w:val="20"/>
              </w:rPr>
              <w:t xml:space="preserve"> de </w:t>
            </w:r>
            <w:proofErr w:type="spellStart"/>
            <w:r w:rsidRPr="003A3842">
              <w:rPr>
                <w:rFonts w:ascii="Verdana" w:hAnsi="Verdana" w:cs="Verdana"/>
                <w:sz w:val="20"/>
                <w:szCs w:val="20"/>
              </w:rPr>
              <w:t>afaceri</w:t>
            </w:r>
            <w:proofErr w:type="spellEnd"/>
            <w:r w:rsidRPr="003A3842">
              <w:rPr>
                <w:rFonts w:ascii="Verdana" w:hAnsi="Verdana" w:cs="Verdana"/>
                <w:sz w:val="20"/>
                <w:szCs w:val="20"/>
              </w:rPr>
              <w:t xml:space="preserve"> brut</w:t>
            </w:r>
            <w:r w:rsidRPr="003A3842">
              <w:rPr>
                <w:rFonts w:ascii="Verdana" w:hAnsi="Verdana" w:cs="Verdana"/>
                <w:sz w:val="20"/>
                <w:szCs w:val="20"/>
                <w:lang w:val="ro-RO"/>
              </w:rPr>
              <w:t>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09" w:rsidRPr="003A3842" w:rsidRDefault="00333A09" w:rsidP="00333A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4.151.088.337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3.566.449.386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16%</w:t>
            </w:r>
          </w:p>
        </w:tc>
      </w:tr>
      <w:tr w:rsidR="003A3842" w:rsidRPr="003A3842" w:rsidTr="00615444">
        <w:trPr>
          <w:trHeight w:val="26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09" w:rsidRPr="003A3842" w:rsidRDefault="00333A09" w:rsidP="00333A09">
            <w:pPr>
              <w:rPr>
                <w:rFonts w:ascii="Verdana" w:hAnsi="Verdana" w:cs="Verdana,BoldItalic"/>
                <w:bCs/>
                <w:iCs/>
                <w:sz w:val="20"/>
                <w:szCs w:val="20"/>
              </w:rPr>
            </w:pPr>
            <w:r w:rsidRPr="003A3842">
              <w:rPr>
                <w:rFonts w:ascii="Verdana" w:hAnsi="Verdana" w:cs="Verdana"/>
                <w:sz w:val="20"/>
                <w:szCs w:val="20"/>
              </w:rPr>
              <w:t>EBITDA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09" w:rsidRPr="003A3842" w:rsidRDefault="00333A09" w:rsidP="00333A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210.724.926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595470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186.548.315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13%</w:t>
            </w:r>
          </w:p>
        </w:tc>
      </w:tr>
      <w:tr w:rsidR="003A3842" w:rsidRPr="003A3842" w:rsidTr="00615444">
        <w:trPr>
          <w:trHeight w:val="26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09" w:rsidRPr="003A3842" w:rsidRDefault="00333A09" w:rsidP="00333A09">
            <w:pPr>
              <w:rPr>
                <w:rFonts w:ascii="Verdana" w:hAnsi="Verdana" w:cs="Verdana,BoldItalic"/>
                <w:bCs/>
                <w:iCs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 w:cs="Verdana"/>
                <w:sz w:val="20"/>
                <w:szCs w:val="20"/>
              </w:rPr>
              <w:t>Rezultat</w:t>
            </w:r>
            <w:proofErr w:type="spellEnd"/>
            <w:r w:rsidRPr="003A3842">
              <w:rPr>
                <w:rFonts w:ascii="Verdana" w:hAnsi="Verdana" w:cs="Verdana"/>
                <w:sz w:val="20"/>
                <w:szCs w:val="20"/>
              </w:rPr>
              <w:t xml:space="preserve"> net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A09" w:rsidRPr="003A3842" w:rsidRDefault="00333A09" w:rsidP="00333A0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21.924.527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595470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57.145.367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A3842" w:rsidRDefault="00333A09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-62%</w:t>
            </w:r>
          </w:p>
        </w:tc>
      </w:tr>
    </w:tbl>
    <w:p w:rsidR="001E50BE" w:rsidRPr="003A3842" w:rsidRDefault="003A3842" w:rsidP="00D579FE">
      <w:pPr>
        <w:jc w:val="both"/>
        <w:rPr>
          <w:rFonts w:ascii="Verdana" w:hAnsi="Verdana"/>
          <w:sz w:val="20"/>
          <w:szCs w:val="20"/>
          <w:lang w:val="ro-RO"/>
        </w:rPr>
      </w:pPr>
      <w:r>
        <w:rPr>
          <w:rFonts w:ascii="Verdana" w:hAnsi="Verdana"/>
          <w:sz w:val="20"/>
          <w:szCs w:val="20"/>
        </w:rPr>
        <w:br/>
      </w:r>
      <w:proofErr w:type="spellStart"/>
      <w:r w:rsidR="00D579FE" w:rsidRPr="003A3842">
        <w:rPr>
          <w:rFonts w:ascii="Verdana" w:hAnsi="Verdana"/>
          <w:sz w:val="20"/>
          <w:szCs w:val="20"/>
        </w:rPr>
        <w:t>Rompetrol</w:t>
      </w:r>
      <w:proofErr w:type="spellEnd"/>
      <w:r w:rsidR="00D579FE" w:rsidRPr="003A3842">
        <w:rPr>
          <w:rFonts w:ascii="Verdana" w:hAnsi="Verdana"/>
          <w:sz w:val="20"/>
          <w:szCs w:val="20"/>
        </w:rPr>
        <w:t xml:space="preserve"> Rafinare, </w:t>
      </w:r>
      <w:proofErr w:type="spellStart"/>
      <w:r w:rsidR="00D579FE" w:rsidRPr="003A3842">
        <w:rPr>
          <w:rFonts w:ascii="Verdana" w:hAnsi="Verdana"/>
          <w:sz w:val="20"/>
          <w:szCs w:val="20"/>
        </w:rPr>
        <w:t>companie</w:t>
      </w:r>
      <w:proofErr w:type="spellEnd"/>
      <w:r w:rsidR="00D579FE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D579FE" w:rsidRPr="003A3842">
        <w:rPr>
          <w:rFonts w:ascii="Verdana" w:hAnsi="Verdana"/>
          <w:sz w:val="20"/>
          <w:szCs w:val="20"/>
        </w:rPr>
        <w:t>membr</w:t>
      </w:r>
      <w:proofErr w:type="spellEnd"/>
      <w:r w:rsidR="00D579FE" w:rsidRPr="003A3842">
        <w:rPr>
          <w:rFonts w:ascii="Verdana" w:hAnsi="Verdana"/>
          <w:sz w:val="20"/>
          <w:szCs w:val="20"/>
          <w:lang w:val="ro-RO"/>
        </w:rPr>
        <w:t xml:space="preserve">ă a KMG International, </w:t>
      </w:r>
      <w:r w:rsidR="001E50BE" w:rsidRPr="003A3842">
        <w:rPr>
          <w:rFonts w:ascii="Verdana" w:hAnsi="Verdana"/>
          <w:sz w:val="20"/>
          <w:szCs w:val="20"/>
          <w:lang w:val="ro-RO"/>
        </w:rPr>
        <w:t xml:space="preserve">și-a reconfirmat profitabilitatea în 2017, obținând un rezultat net </w:t>
      </w:r>
      <w:r w:rsidR="009F6BCB" w:rsidRPr="003A3842">
        <w:rPr>
          <w:rFonts w:ascii="Verdana" w:hAnsi="Verdana"/>
          <w:sz w:val="20"/>
          <w:szCs w:val="20"/>
          <w:lang w:val="ro-RO"/>
        </w:rPr>
        <w:t xml:space="preserve">consolidat* </w:t>
      </w:r>
      <w:r w:rsidR="001E50BE" w:rsidRPr="003A3842">
        <w:rPr>
          <w:rFonts w:ascii="Verdana" w:hAnsi="Verdana"/>
          <w:sz w:val="20"/>
          <w:szCs w:val="20"/>
          <w:lang w:val="ro-RO"/>
        </w:rPr>
        <w:t xml:space="preserve">în valoare de aproximativ 22 milioane USD, pe fondul unor recorduri istorice de producție realizate atât de rafinăria Petromidia Năvodari, cât și de rafinăria Vega Ploiești. </w:t>
      </w:r>
    </w:p>
    <w:p w:rsidR="006F5EC5" w:rsidRPr="003A3842" w:rsidRDefault="00502290" w:rsidP="006F5EC5">
      <w:pPr>
        <w:jc w:val="both"/>
        <w:rPr>
          <w:rFonts w:ascii="Verdana" w:hAnsi="Verdana"/>
          <w:sz w:val="20"/>
          <w:szCs w:val="20"/>
        </w:rPr>
      </w:pPr>
      <w:r w:rsidRPr="003A3842">
        <w:rPr>
          <w:rFonts w:ascii="Verdana" w:hAnsi="Verdana"/>
          <w:sz w:val="20"/>
          <w:szCs w:val="20"/>
        </w:rPr>
        <w:t>“</w:t>
      </w:r>
      <w:proofErr w:type="spellStart"/>
      <w:r w:rsidR="00613305" w:rsidRPr="003A3842">
        <w:rPr>
          <w:rFonts w:ascii="Verdana" w:hAnsi="Verdana"/>
          <w:sz w:val="20"/>
          <w:szCs w:val="20"/>
        </w:rPr>
        <w:t>Rafinări</w:t>
      </w:r>
      <w:r w:rsidR="00D00334" w:rsidRPr="003A3842">
        <w:rPr>
          <w:rFonts w:ascii="Verdana" w:hAnsi="Verdana"/>
          <w:sz w:val="20"/>
          <w:szCs w:val="20"/>
        </w:rPr>
        <w:t>a</w:t>
      </w:r>
      <w:proofErr w:type="spellEnd"/>
      <w:r w:rsidR="0061330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613305" w:rsidRPr="003A3842">
        <w:rPr>
          <w:rFonts w:ascii="Verdana" w:hAnsi="Verdana"/>
          <w:sz w:val="20"/>
          <w:szCs w:val="20"/>
        </w:rPr>
        <w:t>Petromidia</w:t>
      </w:r>
      <w:proofErr w:type="spellEnd"/>
      <w:r w:rsidR="00613305" w:rsidRPr="003A3842">
        <w:rPr>
          <w:rFonts w:ascii="Verdana" w:hAnsi="Verdana"/>
          <w:sz w:val="20"/>
          <w:szCs w:val="20"/>
        </w:rPr>
        <w:t xml:space="preserve"> a </w:t>
      </w:r>
      <w:proofErr w:type="spellStart"/>
      <w:r w:rsidR="00613305" w:rsidRPr="003A3842">
        <w:rPr>
          <w:rFonts w:ascii="Verdana" w:hAnsi="Verdana"/>
          <w:sz w:val="20"/>
          <w:szCs w:val="20"/>
        </w:rPr>
        <w:t>atins</w:t>
      </w:r>
      <w:proofErr w:type="spellEnd"/>
      <w:r w:rsidR="0061330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3A3842">
        <w:rPr>
          <w:rFonts w:ascii="Verdana" w:hAnsi="Verdana"/>
          <w:sz w:val="20"/>
          <w:szCs w:val="20"/>
        </w:rPr>
        <w:t>anul</w:t>
      </w:r>
      <w:proofErr w:type="spellEnd"/>
      <w:r w:rsid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3A3842">
        <w:rPr>
          <w:rFonts w:ascii="Verdana" w:hAnsi="Verdana"/>
          <w:sz w:val="20"/>
          <w:szCs w:val="20"/>
        </w:rPr>
        <w:t>trecut</w:t>
      </w:r>
      <w:proofErr w:type="spellEnd"/>
      <w:r w:rsidR="003A3842">
        <w:rPr>
          <w:rFonts w:ascii="Verdana" w:hAnsi="Verdana"/>
          <w:sz w:val="20"/>
          <w:szCs w:val="20"/>
        </w:rPr>
        <w:t xml:space="preserve"> </w:t>
      </w:r>
      <w:r w:rsidR="00613305" w:rsidRPr="003A3842">
        <w:rPr>
          <w:rFonts w:ascii="Verdana" w:hAnsi="Verdana"/>
          <w:sz w:val="20"/>
          <w:szCs w:val="20"/>
        </w:rPr>
        <w:t xml:space="preserve">un </w:t>
      </w:r>
      <w:proofErr w:type="spellStart"/>
      <w:r w:rsidR="003F6795" w:rsidRPr="003A3842">
        <w:rPr>
          <w:rFonts w:ascii="Verdana" w:hAnsi="Verdana"/>
          <w:sz w:val="20"/>
          <w:szCs w:val="20"/>
        </w:rPr>
        <w:t>nou</w:t>
      </w:r>
      <w:proofErr w:type="spellEnd"/>
      <w:r w:rsidR="003F6795" w:rsidRPr="003A3842">
        <w:rPr>
          <w:rFonts w:ascii="Verdana" w:hAnsi="Verdana"/>
          <w:sz w:val="20"/>
          <w:szCs w:val="20"/>
        </w:rPr>
        <w:t xml:space="preserve"> record </w:t>
      </w:r>
      <w:proofErr w:type="spellStart"/>
      <w:r w:rsidR="003F6795" w:rsidRPr="003A3842">
        <w:rPr>
          <w:rFonts w:ascii="Verdana" w:hAnsi="Verdana"/>
          <w:sz w:val="20"/>
          <w:szCs w:val="20"/>
        </w:rPr>
        <w:t>istoric</w:t>
      </w:r>
      <w:proofErr w:type="spellEnd"/>
      <w:r w:rsidR="00613305" w:rsidRPr="003A3842">
        <w:rPr>
          <w:rFonts w:ascii="Verdana" w:hAnsi="Verdana"/>
          <w:sz w:val="20"/>
          <w:szCs w:val="20"/>
        </w:rPr>
        <w:t xml:space="preserve"> de </w:t>
      </w:r>
      <w:proofErr w:type="spellStart"/>
      <w:r w:rsidR="003F6795" w:rsidRPr="003A3842">
        <w:rPr>
          <w:rFonts w:ascii="Verdana" w:hAnsi="Verdana"/>
          <w:sz w:val="20"/>
          <w:szCs w:val="20"/>
        </w:rPr>
        <w:t>procesare</w:t>
      </w:r>
      <w:proofErr w:type="spellEnd"/>
      <w:r w:rsidR="003F7696" w:rsidRPr="003A3842">
        <w:rPr>
          <w:rFonts w:ascii="Verdana" w:hAnsi="Verdana"/>
          <w:sz w:val="20"/>
          <w:szCs w:val="20"/>
        </w:rPr>
        <w:t xml:space="preserve"> </w:t>
      </w:r>
      <w:r w:rsidR="005A7114" w:rsidRPr="003A3842">
        <w:rPr>
          <w:rFonts w:ascii="Verdana" w:hAnsi="Verdana"/>
          <w:sz w:val="20"/>
          <w:szCs w:val="20"/>
        </w:rPr>
        <w:t xml:space="preserve">de la </w:t>
      </w:r>
      <w:r w:rsidR="005A7114" w:rsidRPr="003A3842">
        <w:rPr>
          <w:rFonts w:ascii="Verdana" w:hAnsi="Verdana"/>
          <w:sz w:val="20"/>
          <w:szCs w:val="20"/>
          <w:lang w:val="ro-RO"/>
        </w:rPr>
        <w:t xml:space="preserve">înființarea </w:t>
      </w:r>
      <w:r w:rsidR="003F6795" w:rsidRPr="003A3842">
        <w:rPr>
          <w:rFonts w:ascii="Verdana" w:hAnsi="Verdana"/>
          <w:sz w:val="20"/>
          <w:szCs w:val="20"/>
          <w:lang w:val="ro-RO"/>
        </w:rPr>
        <w:t>platformei industriale (1979)</w:t>
      </w:r>
      <w:r w:rsidR="003A0FB4" w:rsidRPr="003A3842">
        <w:rPr>
          <w:rFonts w:ascii="Verdana" w:hAnsi="Verdana"/>
          <w:sz w:val="20"/>
          <w:szCs w:val="20"/>
          <w:lang w:val="ro-RO"/>
        </w:rPr>
        <w:t xml:space="preserve"> de</w:t>
      </w:r>
      <w:r w:rsidR="003A3842">
        <w:rPr>
          <w:rFonts w:ascii="Verdana" w:hAnsi="Verdana"/>
          <w:sz w:val="20"/>
          <w:szCs w:val="20"/>
          <w:lang w:val="ro-RO"/>
        </w:rPr>
        <w:t xml:space="preserve"> circa</w:t>
      </w:r>
      <w:r w:rsidR="003A0FB4" w:rsidRPr="003A3842">
        <w:rPr>
          <w:rFonts w:ascii="Verdana" w:hAnsi="Verdana"/>
          <w:sz w:val="20"/>
          <w:szCs w:val="20"/>
          <w:lang w:val="ro-RO"/>
        </w:rPr>
        <w:t xml:space="preserve"> 5,66 milioane tone </w:t>
      </w:r>
      <w:r w:rsidR="003A0FB4" w:rsidRPr="003A3842">
        <w:rPr>
          <w:rFonts w:ascii="Verdana" w:hAnsi="Verdana"/>
          <w:sz w:val="20"/>
          <w:szCs w:val="20"/>
        </w:rPr>
        <w:t>(</w:t>
      </w:r>
      <w:r w:rsidR="003A3842">
        <w:rPr>
          <w:rFonts w:ascii="Verdana" w:hAnsi="Verdana"/>
          <w:sz w:val="20"/>
          <w:szCs w:val="20"/>
        </w:rPr>
        <w:t>16.</w:t>
      </w:r>
      <w:r w:rsidR="00613305" w:rsidRPr="003A3842">
        <w:rPr>
          <w:rFonts w:ascii="Verdana" w:hAnsi="Verdana"/>
          <w:sz w:val="20"/>
          <w:szCs w:val="20"/>
        </w:rPr>
        <w:t>8</w:t>
      </w:r>
      <w:r w:rsidR="003A3842">
        <w:rPr>
          <w:rFonts w:ascii="Verdana" w:hAnsi="Verdana"/>
          <w:sz w:val="20"/>
          <w:szCs w:val="20"/>
        </w:rPr>
        <w:t>00</w:t>
      </w:r>
      <w:r w:rsidR="00613305" w:rsidRPr="003A3842">
        <w:rPr>
          <w:rFonts w:ascii="Verdana" w:hAnsi="Verdana"/>
          <w:sz w:val="20"/>
          <w:szCs w:val="20"/>
        </w:rPr>
        <w:t xml:space="preserve"> </w:t>
      </w:r>
      <w:r w:rsidR="003A3842">
        <w:rPr>
          <w:rFonts w:ascii="Verdana" w:hAnsi="Verdana"/>
          <w:sz w:val="20"/>
          <w:szCs w:val="20"/>
        </w:rPr>
        <w:t>tone</w:t>
      </w:r>
      <w:r w:rsidR="003664B0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3664B0" w:rsidRPr="003A3842">
        <w:rPr>
          <w:rFonts w:ascii="Verdana" w:hAnsi="Verdana"/>
          <w:sz w:val="20"/>
          <w:szCs w:val="20"/>
        </w:rPr>
        <w:t>pe</w:t>
      </w:r>
      <w:proofErr w:type="spellEnd"/>
      <w:r w:rsidR="003664B0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3664B0" w:rsidRPr="003A3842">
        <w:rPr>
          <w:rFonts w:ascii="Verdana" w:hAnsi="Verdana"/>
          <w:sz w:val="20"/>
          <w:szCs w:val="20"/>
        </w:rPr>
        <w:t>zi</w:t>
      </w:r>
      <w:proofErr w:type="spellEnd"/>
      <w:r w:rsidR="003A0FB4" w:rsidRPr="003A3842">
        <w:rPr>
          <w:rFonts w:ascii="Verdana" w:hAnsi="Verdana"/>
          <w:sz w:val="20"/>
          <w:szCs w:val="20"/>
        </w:rPr>
        <w:t>)</w:t>
      </w:r>
      <w:r w:rsidR="003664B0" w:rsidRPr="003A3842">
        <w:rPr>
          <w:rFonts w:ascii="Verdana" w:hAnsi="Verdana"/>
          <w:sz w:val="20"/>
          <w:szCs w:val="20"/>
        </w:rPr>
        <w:t xml:space="preserve">, </w:t>
      </w:r>
      <w:proofErr w:type="spellStart"/>
      <w:r w:rsidR="003664B0" w:rsidRPr="003A3842">
        <w:rPr>
          <w:rFonts w:ascii="Verdana" w:hAnsi="Verdana"/>
          <w:sz w:val="20"/>
          <w:szCs w:val="20"/>
        </w:rPr>
        <w:t>mai</w:t>
      </w:r>
      <w:proofErr w:type="spellEnd"/>
      <w:r w:rsidR="003664B0" w:rsidRPr="003A3842">
        <w:rPr>
          <w:rFonts w:ascii="Verdana" w:hAnsi="Verdana"/>
          <w:sz w:val="20"/>
          <w:szCs w:val="20"/>
        </w:rPr>
        <w:t xml:space="preserve"> mare cu 5% </w:t>
      </w:r>
      <w:proofErr w:type="spellStart"/>
      <w:r w:rsidR="00F81A0F">
        <w:rPr>
          <w:rFonts w:ascii="Verdana" w:hAnsi="Verdana"/>
          <w:sz w:val="20"/>
          <w:szCs w:val="20"/>
        </w:rPr>
        <w:t>fa</w:t>
      </w:r>
      <w:r w:rsidR="001C22AB">
        <w:rPr>
          <w:rFonts w:ascii="Verdana" w:hAnsi="Verdana"/>
          <w:sz w:val="20"/>
          <w:szCs w:val="20"/>
        </w:rPr>
        <w:t>ț</w:t>
      </w:r>
      <w:r w:rsidR="00777064">
        <w:rPr>
          <w:rFonts w:ascii="Verdana" w:hAnsi="Verdana"/>
          <w:sz w:val="20"/>
          <w:szCs w:val="20"/>
        </w:rPr>
        <w:t>ă</w:t>
      </w:r>
      <w:proofErr w:type="spellEnd"/>
      <w:r w:rsidR="00F81A0F">
        <w:rPr>
          <w:rFonts w:ascii="Verdana" w:hAnsi="Verdana"/>
          <w:sz w:val="20"/>
          <w:szCs w:val="20"/>
        </w:rPr>
        <w:t xml:space="preserve"> de</w:t>
      </w:r>
      <w:r w:rsidR="003664B0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777064">
        <w:rPr>
          <w:rFonts w:ascii="Verdana" w:hAnsi="Verdana"/>
          <w:sz w:val="20"/>
          <w:szCs w:val="20"/>
        </w:rPr>
        <w:t>nivelul</w:t>
      </w:r>
      <w:proofErr w:type="spellEnd"/>
      <w:r w:rsidR="00777064">
        <w:rPr>
          <w:rFonts w:ascii="Verdana" w:hAnsi="Verdana"/>
          <w:sz w:val="20"/>
          <w:szCs w:val="20"/>
        </w:rPr>
        <w:t xml:space="preserve"> </w:t>
      </w:r>
      <w:proofErr w:type="spellStart"/>
      <w:r w:rsidR="00777064">
        <w:rPr>
          <w:rFonts w:ascii="Verdana" w:hAnsi="Verdana"/>
          <w:sz w:val="20"/>
          <w:szCs w:val="20"/>
        </w:rPr>
        <w:t>atins</w:t>
      </w:r>
      <w:proofErr w:type="spellEnd"/>
      <w:r w:rsidR="00777064">
        <w:rPr>
          <w:rFonts w:ascii="Verdana" w:hAnsi="Verdana"/>
          <w:sz w:val="20"/>
          <w:szCs w:val="20"/>
        </w:rPr>
        <w:t xml:space="preserve"> </w:t>
      </w:r>
      <w:proofErr w:type="spellStart"/>
      <w:r w:rsidR="00777064">
        <w:rPr>
          <w:rFonts w:ascii="Verdana" w:hAnsi="Verdana"/>
          <w:sz w:val="20"/>
          <w:szCs w:val="20"/>
        </w:rPr>
        <w:t>î</w:t>
      </w:r>
      <w:r w:rsidR="003A3842">
        <w:rPr>
          <w:rFonts w:ascii="Verdana" w:hAnsi="Verdana"/>
          <w:sz w:val="20"/>
          <w:szCs w:val="20"/>
        </w:rPr>
        <w:t>n</w:t>
      </w:r>
      <w:proofErr w:type="spellEnd"/>
      <w:r w:rsidR="003A3842">
        <w:rPr>
          <w:rFonts w:ascii="Verdana" w:hAnsi="Verdana"/>
          <w:sz w:val="20"/>
          <w:szCs w:val="20"/>
        </w:rPr>
        <w:t xml:space="preserve"> </w:t>
      </w:r>
      <w:r w:rsidR="003664B0" w:rsidRPr="003A3842">
        <w:rPr>
          <w:rFonts w:ascii="Verdana" w:hAnsi="Verdana"/>
          <w:sz w:val="20"/>
          <w:szCs w:val="20"/>
        </w:rPr>
        <w:t>2016</w:t>
      </w:r>
      <w:r w:rsidR="006F5EC5" w:rsidRPr="003A3842">
        <w:rPr>
          <w:rFonts w:ascii="Verdana" w:hAnsi="Verdana"/>
          <w:sz w:val="20"/>
          <w:szCs w:val="20"/>
        </w:rPr>
        <w:t xml:space="preserve">. </w:t>
      </w:r>
      <w:proofErr w:type="spellStart"/>
      <w:r w:rsidR="006F5EC5" w:rsidRPr="003A3842">
        <w:rPr>
          <w:rFonts w:ascii="Verdana" w:hAnsi="Verdana"/>
          <w:sz w:val="20"/>
          <w:szCs w:val="20"/>
        </w:rPr>
        <w:t>Prin</w:t>
      </w:r>
      <w:r w:rsidR="001C22AB">
        <w:rPr>
          <w:rFonts w:ascii="Verdana" w:hAnsi="Verdana"/>
          <w:sz w:val="20"/>
          <w:szCs w:val="20"/>
        </w:rPr>
        <w:t>cipalii</w:t>
      </w:r>
      <w:proofErr w:type="spellEnd"/>
      <w:r w:rsidR="001C22AB">
        <w:rPr>
          <w:rFonts w:ascii="Verdana" w:hAnsi="Verdana"/>
          <w:sz w:val="20"/>
          <w:szCs w:val="20"/>
        </w:rPr>
        <w:t xml:space="preserve"> </w:t>
      </w:r>
      <w:proofErr w:type="spellStart"/>
      <w:r w:rsidR="001C22AB">
        <w:rPr>
          <w:rFonts w:ascii="Verdana" w:hAnsi="Verdana"/>
          <w:sz w:val="20"/>
          <w:szCs w:val="20"/>
        </w:rPr>
        <w:t>parametrii</w:t>
      </w:r>
      <w:proofErr w:type="spellEnd"/>
      <w:r w:rsidR="001C22AB">
        <w:rPr>
          <w:rFonts w:ascii="Verdana" w:hAnsi="Verdana"/>
          <w:sz w:val="20"/>
          <w:szCs w:val="20"/>
        </w:rPr>
        <w:t xml:space="preserve"> </w:t>
      </w:r>
      <w:proofErr w:type="spellStart"/>
      <w:r w:rsidR="001C22AB">
        <w:rPr>
          <w:rFonts w:ascii="Verdana" w:hAnsi="Verdana"/>
          <w:sz w:val="20"/>
          <w:szCs w:val="20"/>
        </w:rPr>
        <w:t>tehnologici</w:t>
      </w:r>
      <w:proofErr w:type="spellEnd"/>
      <w:r w:rsidR="001C22AB">
        <w:rPr>
          <w:rFonts w:ascii="Verdana" w:hAnsi="Verdana"/>
          <w:sz w:val="20"/>
          <w:szCs w:val="20"/>
        </w:rPr>
        <w:t xml:space="preserve"> </w:t>
      </w:r>
      <w:proofErr w:type="spellStart"/>
      <w:r w:rsidR="001C22AB">
        <w:rPr>
          <w:rFonts w:ascii="Verdana" w:hAnsi="Verdana"/>
          <w:sz w:val="20"/>
          <w:szCs w:val="20"/>
        </w:rPr>
        <w:t>ș</w:t>
      </w:r>
      <w:r w:rsidR="006F5EC5" w:rsidRPr="003A3842">
        <w:rPr>
          <w:rFonts w:ascii="Verdana" w:hAnsi="Verdana"/>
          <w:sz w:val="20"/>
          <w:szCs w:val="20"/>
        </w:rPr>
        <w:t>i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6F5EC5" w:rsidRPr="003A3842">
        <w:rPr>
          <w:rFonts w:ascii="Verdana" w:hAnsi="Verdana"/>
          <w:sz w:val="20"/>
          <w:szCs w:val="20"/>
        </w:rPr>
        <w:t>operaționali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au </w:t>
      </w:r>
      <w:proofErr w:type="spellStart"/>
      <w:r w:rsidR="006F5EC5" w:rsidRPr="003A3842">
        <w:rPr>
          <w:rFonts w:ascii="Verdana" w:hAnsi="Verdana"/>
          <w:sz w:val="20"/>
          <w:szCs w:val="20"/>
        </w:rPr>
        <w:t>atins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6F5EC5" w:rsidRPr="003A3842">
        <w:rPr>
          <w:rFonts w:ascii="Verdana" w:hAnsi="Verdana"/>
          <w:sz w:val="20"/>
          <w:szCs w:val="20"/>
        </w:rPr>
        <w:t>niveluri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record, cum </w:t>
      </w:r>
      <w:proofErr w:type="spellStart"/>
      <w:r w:rsidR="006F5EC5" w:rsidRPr="003A3842">
        <w:rPr>
          <w:rFonts w:ascii="Verdana" w:hAnsi="Verdana"/>
          <w:sz w:val="20"/>
          <w:szCs w:val="20"/>
        </w:rPr>
        <w:t>ar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fi </w:t>
      </w:r>
      <w:proofErr w:type="spellStart"/>
      <w:r w:rsidR="006F5EC5" w:rsidRPr="003A3842">
        <w:rPr>
          <w:rFonts w:ascii="Verdana" w:hAnsi="Verdana"/>
          <w:sz w:val="20"/>
          <w:szCs w:val="20"/>
        </w:rPr>
        <w:t>cantitatea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de </w:t>
      </w:r>
      <w:proofErr w:type="spellStart"/>
      <w:r w:rsidR="006F5EC5" w:rsidRPr="003A3842">
        <w:rPr>
          <w:rFonts w:ascii="Verdana" w:hAnsi="Verdana"/>
          <w:sz w:val="20"/>
          <w:szCs w:val="20"/>
        </w:rPr>
        <w:t>benzină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auto </w:t>
      </w:r>
      <w:proofErr w:type="spellStart"/>
      <w:r w:rsidR="006F5EC5" w:rsidRPr="003A3842">
        <w:rPr>
          <w:rFonts w:ascii="Verdana" w:hAnsi="Verdana"/>
          <w:sz w:val="20"/>
          <w:szCs w:val="20"/>
        </w:rPr>
        <w:t>produsă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de </w:t>
      </w:r>
      <w:proofErr w:type="spellStart"/>
      <w:r w:rsidR="006F5EC5" w:rsidRPr="003A3842">
        <w:rPr>
          <w:rFonts w:ascii="Verdana" w:hAnsi="Verdana"/>
          <w:sz w:val="20"/>
          <w:szCs w:val="20"/>
        </w:rPr>
        <w:t>rafinărie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(1,46 </w:t>
      </w:r>
      <w:proofErr w:type="spellStart"/>
      <w:r w:rsidR="006F5EC5" w:rsidRPr="003A3842">
        <w:rPr>
          <w:rFonts w:ascii="Verdana" w:hAnsi="Verdana"/>
          <w:sz w:val="20"/>
          <w:szCs w:val="20"/>
        </w:rPr>
        <w:t>milioane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tone) </w:t>
      </w:r>
      <w:proofErr w:type="spellStart"/>
      <w:r w:rsidR="006F5EC5" w:rsidRPr="003A3842">
        <w:rPr>
          <w:rFonts w:ascii="Verdana" w:hAnsi="Verdana"/>
          <w:sz w:val="20"/>
          <w:szCs w:val="20"/>
        </w:rPr>
        <w:t>sau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6F5EC5" w:rsidRPr="003A3842">
        <w:rPr>
          <w:rFonts w:ascii="Verdana" w:hAnsi="Verdana"/>
          <w:sz w:val="20"/>
          <w:szCs w:val="20"/>
        </w:rPr>
        <w:t>cea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de </w:t>
      </w:r>
      <w:proofErr w:type="spellStart"/>
      <w:r w:rsidR="006F5EC5" w:rsidRPr="003A3842">
        <w:rPr>
          <w:rFonts w:ascii="Verdana" w:hAnsi="Verdana"/>
          <w:sz w:val="20"/>
          <w:szCs w:val="20"/>
        </w:rPr>
        <w:t>motorină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(2,74 </w:t>
      </w:r>
      <w:proofErr w:type="spellStart"/>
      <w:r w:rsidR="006F5EC5" w:rsidRPr="003A3842">
        <w:rPr>
          <w:rFonts w:ascii="Verdana" w:hAnsi="Verdana"/>
          <w:sz w:val="20"/>
          <w:szCs w:val="20"/>
        </w:rPr>
        <w:t>milioane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tone), </w:t>
      </w:r>
      <w:proofErr w:type="spellStart"/>
      <w:r w:rsidR="006F5EC5" w:rsidRPr="003A3842">
        <w:rPr>
          <w:rFonts w:ascii="Verdana" w:hAnsi="Verdana"/>
          <w:sz w:val="20"/>
          <w:szCs w:val="20"/>
        </w:rPr>
        <w:t>dar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6F5EC5" w:rsidRPr="003A3842">
        <w:rPr>
          <w:rFonts w:ascii="Verdana" w:hAnsi="Verdana"/>
          <w:sz w:val="20"/>
          <w:szCs w:val="20"/>
        </w:rPr>
        <w:t>și</w:t>
      </w:r>
      <w:proofErr w:type="spellEnd"/>
      <w:r w:rsidR="006F5EC5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</w:rPr>
        <w:t>cea</w:t>
      </w:r>
      <w:proofErr w:type="spellEnd"/>
      <w:r w:rsidR="002F2B98">
        <w:rPr>
          <w:rFonts w:ascii="Verdana" w:hAnsi="Verdana"/>
          <w:sz w:val="20"/>
          <w:szCs w:val="20"/>
        </w:rPr>
        <w:t xml:space="preserve"> de </w:t>
      </w:r>
      <w:proofErr w:type="spellStart"/>
      <w:r w:rsidR="002F2B98" w:rsidRPr="003A3842">
        <w:rPr>
          <w:rFonts w:ascii="Verdana" w:hAnsi="Verdana"/>
          <w:sz w:val="20"/>
          <w:szCs w:val="20"/>
        </w:rPr>
        <w:t>propilenă</w:t>
      </w:r>
      <w:proofErr w:type="spellEnd"/>
      <w:r w:rsidR="002F2B98">
        <w:rPr>
          <w:rFonts w:ascii="Verdana" w:hAnsi="Verdana"/>
          <w:sz w:val="20"/>
          <w:szCs w:val="20"/>
        </w:rPr>
        <w:t xml:space="preserve"> - </w:t>
      </w:r>
      <w:r w:rsidR="009A20D8" w:rsidRPr="003A3842">
        <w:rPr>
          <w:rFonts w:ascii="Verdana" w:hAnsi="Verdana"/>
          <w:sz w:val="20"/>
          <w:szCs w:val="20"/>
        </w:rPr>
        <w:t>133</w:t>
      </w:r>
      <w:r w:rsidR="00DD2CF6">
        <w:rPr>
          <w:rFonts w:ascii="Verdana" w:hAnsi="Verdana"/>
          <w:sz w:val="20"/>
          <w:szCs w:val="20"/>
        </w:rPr>
        <w:t>.000 tone</w:t>
      </w:r>
      <w:r w:rsidR="00FD0E75" w:rsidRPr="003A3842">
        <w:rPr>
          <w:rFonts w:ascii="Verdana" w:hAnsi="Verdana"/>
          <w:sz w:val="20"/>
          <w:szCs w:val="20"/>
        </w:rPr>
        <w:t xml:space="preserve">. </w:t>
      </w:r>
      <w:proofErr w:type="spellStart"/>
      <w:r w:rsidR="00CE54FC" w:rsidRPr="003A3842">
        <w:rPr>
          <w:rFonts w:ascii="Verdana" w:hAnsi="Verdana"/>
          <w:sz w:val="20"/>
          <w:szCs w:val="20"/>
        </w:rPr>
        <w:t>Performanțele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constante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ale </w:t>
      </w:r>
      <w:proofErr w:type="spellStart"/>
      <w:r w:rsidR="00CE54FC" w:rsidRPr="003A3842">
        <w:rPr>
          <w:rFonts w:ascii="Verdana" w:hAnsi="Verdana"/>
          <w:sz w:val="20"/>
          <w:szCs w:val="20"/>
        </w:rPr>
        <w:t>companiei</w:t>
      </w:r>
      <w:proofErr w:type="spellEnd"/>
      <w:r w:rsidR="001347BE" w:rsidRPr="003A3842">
        <w:rPr>
          <w:rFonts w:ascii="Verdana" w:hAnsi="Verdana"/>
          <w:sz w:val="20"/>
          <w:szCs w:val="20"/>
        </w:rPr>
        <w:t xml:space="preserve">, </w:t>
      </w:r>
      <w:proofErr w:type="spellStart"/>
      <w:r w:rsidR="00CE54FC" w:rsidRPr="003A3842">
        <w:rPr>
          <w:rFonts w:ascii="Verdana" w:hAnsi="Verdana"/>
          <w:sz w:val="20"/>
          <w:szCs w:val="20"/>
        </w:rPr>
        <w:t>atât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cele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operaționale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, </w:t>
      </w:r>
      <w:proofErr w:type="spellStart"/>
      <w:r w:rsidR="00CE54FC" w:rsidRPr="003A3842">
        <w:rPr>
          <w:rFonts w:ascii="Verdana" w:hAnsi="Verdana"/>
          <w:sz w:val="20"/>
          <w:szCs w:val="20"/>
        </w:rPr>
        <w:t>cât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și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cele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financiare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, </w:t>
      </w:r>
      <w:proofErr w:type="spellStart"/>
      <w:r w:rsidR="00CE54FC" w:rsidRPr="003A3842">
        <w:rPr>
          <w:rFonts w:ascii="Verdana" w:hAnsi="Verdana"/>
          <w:sz w:val="20"/>
          <w:szCs w:val="20"/>
        </w:rPr>
        <w:t>demonstrează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încă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odată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CE54FC" w:rsidRPr="003A3842">
        <w:rPr>
          <w:rFonts w:ascii="Verdana" w:hAnsi="Verdana"/>
          <w:sz w:val="20"/>
          <w:szCs w:val="20"/>
        </w:rPr>
        <w:t>că</w:t>
      </w:r>
      <w:proofErr w:type="spellEnd"/>
      <w:r w:rsidR="00CE54FC" w:rsidRPr="003A3842">
        <w:rPr>
          <w:rFonts w:ascii="Verdana" w:hAnsi="Verdana"/>
          <w:sz w:val="20"/>
          <w:szCs w:val="20"/>
        </w:rPr>
        <w:t xml:space="preserve"> </w:t>
      </w:r>
      <w:r w:rsidR="00CE54FC" w:rsidRPr="003A3842">
        <w:rPr>
          <w:rFonts w:ascii="Verdana" w:hAnsi="Verdana"/>
          <w:sz w:val="20"/>
          <w:szCs w:val="20"/>
          <w:lang w:val="ro-RO"/>
        </w:rPr>
        <w:t>investiţiile susţinute de KMG International şi unicul său acţionar, compania naţională d</w:t>
      </w:r>
      <w:r w:rsidR="001C22AB">
        <w:rPr>
          <w:rFonts w:ascii="Verdana" w:hAnsi="Verdana"/>
          <w:sz w:val="20"/>
          <w:szCs w:val="20"/>
          <w:lang w:val="ro-RO"/>
        </w:rPr>
        <w:t xml:space="preserve">e petrol şi gaze din Kazakhstan - </w:t>
      </w:r>
      <w:r w:rsidR="00CE54FC" w:rsidRPr="003A3842">
        <w:rPr>
          <w:rFonts w:ascii="Verdana" w:hAnsi="Verdana"/>
          <w:sz w:val="20"/>
          <w:szCs w:val="20"/>
          <w:lang w:val="ro-RO"/>
        </w:rPr>
        <w:t xml:space="preserve"> KazMuna</w:t>
      </w:r>
      <w:r w:rsidR="00CE54FC" w:rsidRPr="003A3842">
        <w:rPr>
          <w:rFonts w:ascii="Verdana" w:hAnsi="Verdana"/>
          <w:sz w:val="20"/>
          <w:szCs w:val="20"/>
        </w:rPr>
        <w:t>y</w:t>
      </w:r>
      <w:r w:rsidR="00CE54FC" w:rsidRPr="003A3842">
        <w:rPr>
          <w:rFonts w:ascii="Verdana" w:hAnsi="Verdana"/>
          <w:sz w:val="20"/>
          <w:szCs w:val="20"/>
          <w:lang w:val="ro-RO"/>
        </w:rPr>
        <w:t xml:space="preserve">Gas, </w:t>
      </w:r>
      <w:r w:rsidR="00404149" w:rsidRPr="003A3842">
        <w:rPr>
          <w:rFonts w:ascii="Verdana" w:hAnsi="Verdana"/>
          <w:sz w:val="20"/>
          <w:szCs w:val="20"/>
          <w:lang w:val="ro-RO"/>
        </w:rPr>
        <w:t xml:space="preserve">de peste </w:t>
      </w:r>
      <w:r w:rsidR="00CE54FC" w:rsidRPr="00B16A7B">
        <w:rPr>
          <w:rFonts w:ascii="Verdana" w:hAnsi="Verdana"/>
          <w:sz w:val="20"/>
          <w:szCs w:val="20"/>
          <w:lang w:val="ro-RO"/>
        </w:rPr>
        <w:t>1,4 miliarde USD</w:t>
      </w:r>
      <w:r w:rsidR="00E367B4" w:rsidRPr="003A3842">
        <w:rPr>
          <w:rFonts w:ascii="Verdana" w:hAnsi="Verdana"/>
          <w:sz w:val="20"/>
          <w:szCs w:val="20"/>
          <w:lang w:val="ro-RO"/>
        </w:rPr>
        <w:t xml:space="preserve"> de la preluarea afacerii</w:t>
      </w:r>
      <w:r w:rsidR="00404149" w:rsidRPr="003A3842">
        <w:rPr>
          <w:rFonts w:ascii="Verdana" w:hAnsi="Verdana"/>
          <w:sz w:val="20"/>
          <w:szCs w:val="20"/>
          <w:lang w:val="ro-RO"/>
        </w:rPr>
        <w:t>, au transformat acest business într-unul competitiv, dinamic și sustenabil</w:t>
      </w:r>
      <w:r w:rsidR="00404149" w:rsidRPr="003A3842">
        <w:rPr>
          <w:rFonts w:ascii="Verdana" w:hAnsi="Verdana"/>
          <w:sz w:val="20"/>
          <w:szCs w:val="20"/>
        </w:rPr>
        <w:t xml:space="preserve">”, a </w:t>
      </w:r>
      <w:proofErr w:type="spellStart"/>
      <w:r w:rsidR="00404149" w:rsidRPr="003A3842">
        <w:rPr>
          <w:rFonts w:ascii="Verdana" w:hAnsi="Verdana"/>
          <w:sz w:val="20"/>
          <w:szCs w:val="20"/>
        </w:rPr>
        <w:t>declarat</w:t>
      </w:r>
      <w:proofErr w:type="spellEnd"/>
      <w:r w:rsidR="00404149" w:rsidRPr="003A3842">
        <w:rPr>
          <w:rFonts w:ascii="Verdana" w:hAnsi="Verdana"/>
          <w:sz w:val="20"/>
          <w:szCs w:val="20"/>
        </w:rPr>
        <w:t xml:space="preserve"> </w:t>
      </w:r>
      <w:r w:rsidR="00404149" w:rsidRPr="003A3842">
        <w:rPr>
          <w:rFonts w:ascii="Verdana" w:hAnsi="Verdana"/>
          <w:sz w:val="20"/>
          <w:szCs w:val="20"/>
          <w:lang w:val="ro-RO"/>
        </w:rPr>
        <w:t xml:space="preserve">directorul general al Rompetrol Rafinare, Yedil Utekov. </w:t>
      </w:r>
    </w:p>
    <w:p w:rsidR="00590E0B" w:rsidRPr="003A3842" w:rsidRDefault="00D942B1" w:rsidP="00D942B1">
      <w:pPr>
        <w:jc w:val="both"/>
        <w:rPr>
          <w:rFonts w:ascii="Verdana" w:hAnsi="Verdana"/>
          <w:sz w:val="20"/>
          <w:szCs w:val="20"/>
          <w:lang w:val="ro-RO"/>
        </w:rPr>
      </w:pPr>
      <w:r w:rsidRPr="003A3842">
        <w:rPr>
          <w:rFonts w:ascii="Verdana" w:hAnsi="Verdana"/>
          <w:sz w:val="20"/>
          <w:szCs w:val="20"/>
          <w:lang w:val="ro-RO"/>
        </w:rPr>
        <w:t>Profitul operațional</w:t>
      </w:r>
      <w:r w:rsidR="003A0FB4" w:rsidRPr="003A3842">
        <w:rPr>
          <w:rFonts w:ascii="Verdana" w:hAnsi="Verdana"/>
          <w:sz w:val="20"/>
          <w:szCs w:val="20"/>
          <w:lang w:val="ro-RO"/>
        </w:rPr>
        <w:t xml:space="preserve"> consolidat</w:t>
      </w:r>
      <w:r w:rsidRPr="003A3842">
        <w:rPr>
          <w:rFonts w:ascii="Verdana" w:hAnsi="Verdana"/>
          <w:sz w:val="20"/>
          <w:szCs w:val="20"/>
          <w:lang w:val="ro-RO"/>
        </w:rPr>
        <w:t xml:space="preserve"> EBITDA s-a ridicat </w:t>
      </w:r>
      <w:r w:rsidR="002F2B98">
        <w:rPr>
          <w:rFonts w:ascii="Verdana" w:hAnsi="Verdana"/>
          <w:sz w:val="20"/>
          <w:szCs w:val="20"/>
          <w:lang w:val="ro-RO"/>
        </w:rPr>
        <w:t xml:space="preserve">anul trecut </w:t>
      </w:r>
      <w:r w:rsidRPr="003A3842">
        <w:rPr>
          <w:rFonts w:ascii="Verdana" w:hAnsi="Verdana"/>
          <w:sz w:val="20"/>
          <w:szCs w:val="20"/>
          <w:lang w:val="ro-RO"/>
        </w:rPr>
        <w:t xml:space="preserve">la peste 210 milioane USD, în creștere cu 13% </w:t>
      </w:r>
      <w:r w:rsidR="002F2B98">
        <w:rPr>
          <w:rFonts w:ascii="Verdana" w:hAnsi="Verdana"/>
          <w:sz w:val="20"/>
          <w:szCs w:val="20"/>
          <w:lang w:val="ro-RO"/>
        </w:rPr>
        <w:t>fa</w:t>
      </w:r>
      <w:r w:rsidR="001C22AB">
        <w:rPr>
          <w:rFonts w:ascii="Verdana" w:hAnsi="Verdana"/>
          <w:sz w:val="20"/>
          <w:szCs w:val="20"/>
          <w:lang w:val="ro-RO"/>
        </w:rPr>
        <w:t>ță</w:t>
      </w:r>
      <w:r w:rsidR="002F2B98">
        <w:rPr>
          <w:rFonts w:ascii="Verdana" w:hAnsi="Verdana"/>
          <w:sz w:val="20"/>
          <w:szCs w:val="20"/>
          <w:lang w:val="ro-RO"/>
        </w:rPr>
        <w:t xml:space="preserve"> de</w:t>
      </w:r>
      <w:r w:rsidRPr="003A3842">
        <w:rPr>
          <w:rFonts w:ascii="Verdana" w:hAnsi="Verdana"/>
          <w:sz w:val="20"/>
          <w:szCs w:val="20"/>
          <w:lang w:val="ro-RO"/>
        </w:rPr>
        <w:t xml:space="preserve"> 2016</w:t>
      </w:r>
      <w:r w:rsidR="00590E0B" w:rsidRPr="003A3842">
        <w:rPr>
          <w:rFonts w:ascii="Verdana" w:hAnsi="Verdana"/>
          <w:sz w:val="20"/>
          <w:szCs w:val="20"/>
          <w:lang w:val="ro-RO"/>
        </w:rPr>
        <w:t>, iar c</w:t>
      </w:r>
      <w:r w:rsidRPr="003A3842">
        <w:rPr>
          <w:rFonts w:ascii="Verdana" w:hAnsi="Verdana"/>
          <w:sz w:val="20"/>
          <w:szCs w:val="20"/>
          <w:lang w:val="ro-RO"/>
        </w:rPr>
        <w:t>ifra de afaceri brută a companiei a depășit valoarea de peste 4 miliarde USD</w:t>
      </w:r>
      <w:r w:rsidR="002F2B98">
        <w:rPr>
          <w:rFonts w:ascii="Verdana" w:hAnsi="Verdana"/>
          <w:sz w:val="20"/>
          <w:szCs w:val="20"/>
          <w:lang w:val="ro-RO"/>
        </w:rPr>
        <w:t xml:space="preserve"> (+</w:t>
      </w:r>
      <w:r w:rsidRPr="003A3842">
        <w:rPr>
          <w:rFonts w:ascii="Verdana" w:hAnsi="Verdana"/>
          <w:sz w:val="20"/>
          <w:szCs w:val="20"/>
          <w:lang w:val="ro-RO"/>
        </w:rPr>
        <w:t xml:space="preserve"> 16%</w:t>
      </w:r>
      <w:r w:rsidR="002F2B98">
        <w:rPr>
          <w:rFonts w:ascii="Verdana" w:hAnsi="Verdana"/>
          <w:sz w:val="20"/>
          <w:szCs w:val="20"/>
          <w:lang w:val="ro-RO"/>
        </w:rPr>
        <w:t>)</w:t>
      </w:r>
      <w:r w:rsidRPr="003A3842">
        <w:rPr>
          <w:rFonts w:ascii="Verdana" w:hAnsi="Verdana"/>
          <w:sz w:val="20"/>
          <w:szCs w:val="20"/>
          <w:lang w:val="ro-RO"/>
        </w:rPr>
        <w:t xml:space="preserve">. </w:t>
      </w:r>
    </w:p>
    <w:p w:rsidR="00590E0B" w:rsidRPr="003A3842" w:rsidRDefault="00590E0B" w:rsidP="00D942B1">
      <w:pPr>
        <w:jc w:val="both"/>
        <w:rPr>
          <w:rFonts w:ascii="Verdana" w:hAnsi="Verdana"/>
          <w:sz w:val="20"/>
          <w:szCs w:val="20"/>
          <w:lang w:val="ro-RO"/>
        </w:rPr>
      </w:pPr>
      <w:r w:rsidRPr="003A3842">
        <w:rPr>
          <w:rFonts w:ascii="Verdana" w:hAnsi="Verdana"/>
          <w:sz w:val="20"/>
          <w:szCs w:val="20"/>
          <w:lang w:val="ro-RO"/>
        </w:rPr>
        <w:t xml:space="preserve">Rezultatele financiare </w:t>
      </w:r>
      <w:r w:rsidR="002F2B98">
        <w:rPr>
          <w:rFonts w:ascii="Verdana" w:hAnsi="Verdana" w:cs="Arial"/>
          <w:sz w:val="20"/>
          <w:szCs w:val="20"/>
        </w:rPr>
        <w:t xml:space="preserve">ale </w:t>
      </w:r>
      <w:proofErr w:type="spellStart"/>
      <w:r w:rsidR="002F2B98">
        <w:rPr>
          <w:rFonts w:ascii="Verdana" w:hAnsi="Verdana" w:cs="Arial"/>
          <w:sz w:val="20"/>
          <w:szCs w:val="20"/>
        </w:rPr>
        <w:t>companiei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au </w:t>
      </w:r>
      <w:proofErr w:type="spellStart"/>
      <w:r w:rsidR="002F2B98">
        <w:rPr>
          <w:rFonts w:ascii="Verdana" w:hAnsi="Verdana" w:cs="Arial"/>
          <w:sz w:val="20"/>
          <w:szCs w:val="20"/>
        </w:rPr>
        <w:t>fost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F2B98">
        <w:rPr>
          <w:rFonts w:ascii="Verdana" w:hAnsi="Verdana" w:cs="Arial"/>
          <w:sz w:val="20"/>
          <w:szCs w:val="20"/>
        </w:rPr>
        <w:t>influenț</w:t>
      </w:r>
      <w:r w:rsidRPr="003A3842">
        <w:rPr>
          <w:rFonts w:ascii="Verdana" w:hAnsi="Verdana" w:cs="Arial"/>
          <w:sz w:val="20"/>
          <w:szCs w:val="20"/>
        </w:rPr>
        <w:t>ate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pozitiv</w:t>
      </w:r>
      <w:proofErr w:type="spellEnd"/>
      <w:r w:rsidR="001C22A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C22AB">
        <w:rPr>
          <w:rFonts w:ascii="Verdana" w:hAnsi="Verdana" w:cs="Arial"/>
          <w:sz w:val="20"/>
          <w:szCs w:val="20"/>
        </w:rPr>
        <w:t>ș</w:t>
      </w:r>
      <w:r w:rsidR="002F2B98">
        <w:rPr>
          <w:rFonts w:ascii="Verdana" w:hAnsi="Verdana" w:cs="Arial"/>
          <w:sz w:val="20"/>
          <w:szCs w:val="20"/>
        </w:rPr>
        <w:t>i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</w:t>
      </w:r>
      <w:r w:rsidRPr="003A3842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="002F2B98">
        <w:rPr>
          <w:rFonts w:ascii="Verdana" w:hAnsi="Verdana" w:cs="Arial"/>
          <w:sz w:val="20"/>
          <w:szCs w:val="20"/>
        </w:rPr>
        <w:t>creșterea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cu 20% a </w:t>
      </w:r>
      <w:proofErr w:type="spellStart"/>
      <w:r w:rsidR="002F2B98">
        <w:rPr>
          <w:rFonts w:ascii="Verdana" w:hAnsi="Verdana" w:cs="Arial"/>
          <w:sz w:val="20"/>
          <w:szCs w:val="20"/>
        </w:rPr>
        <w:t>marjei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brut</w:t>
      </w:r>
      <w:r w:rsidR="002F2B98">
        <w:rPr>
          <w:rFonts w:ascii="Verdana" w:hAnsi="Verdana" w:cs="Arial"/>
          <w:sz w:val="20"/>
          <w:szCs w:val="20"/>
        </w:rPr>
        <w:t>e</w:t>
      </w:r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rafinare</w:t>
      </w:r>
      <w:proofErr w:type="spellEnd"/>
      <w:r w:rsidR="001C22A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1C22AB">
        <w:rPr>
          <w:rFonts w:ascii="Verdana" w:hAnsi="Verdana" w:cs="Arial"/>
          <w:sz w:val="20"/>
          <w:szCs w:val="20"/>
        </w:rPr>
        <w:t>faț</w:t>
      </w:r>
      <w:r w:rsidR="002F2B98">
        <w:rPr>
          <w:rFonts w:ascii="Verdana" w:hAnsi="Verdana" w:cs="Arial"/>
          <w:sz w:val="20"/>
          <w:szCs w:val="20"/>
        </w:rPr>
        <w:t>ă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2F2B98">
        <w:rPr>
          <w:rFonts w:ascii="Verdana" w:hAnsi="Verdana" w:cs="Arial"/>
          <w:sz w:val="20"/>
          <w:szCs w:val="20"/>
        </w:rPr>
        <w:t>nivelul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din 2016, </w:t>
      </w:r>
      <w:proofErr w:type="spellStart"/>
      <w:r w:rsidR="002F2B98">
        <w:rPr>
          <w:rFonts w:ascii="Verdana" w:hAnsi="Verdana" w:cs="Arial"/>
          <w:sz w:val="20"/>
          <w:szCs w:val="20"/>
        </w:rPr>
        <w:t>precum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F2B98">
        <w:rPr>
          <w:rFonts w:ascii="Verdana" w:hAnsi="Verdana" w:cs="Arial"/>
          <w:sz w:val="20"/>
          <w:szCs w:val="20"/>
        </w:rPr>
        <w:t>ș</w:t>
      </w:r>
      <w:r w:rsidRPr="003A3842">
        <w:rPr>
          <w:rFonts w:ascii="Verdana" w:hAnsi="Verdana" w:cs="Arial"/>
          <w:sz w:val="20"/>
          <w:szCs w:val="20"/>
        </w:rPr>
        <w:t>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r w:rsidR="002047D4" w:rsidRPr="003A3842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Pr="003A3842">
        <w:rPr>
          <w:rFonts w:ascii="Verdana" w:hAnsi="Verdana" w:cs="Arial"/>
          <w:sz w:val="20"/>
          <w:szCs w:val="20"/>
        </w:rPr>
        <w:t>programele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optimizare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3A3842">
        <w:rPr>
          <w:rFonts w:ascii="Verdana" w:hAnsi="Verdana" w:cs="Arial"/>
          <w:sz w:val="20"/>
          <w:szCs w:val="20"/>
        </w:rPr>
        <w:t>proceselor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producție</w:t>
      </w:r>
      <w:proofErr w:type="spellEnd"/>
      <w:r w:rsidR="002047D4" w:rsidRPr="003A3842">
        <w:rPr>
          <w:rFonts w:ascii="Verdana" w:hAnsi="Verdana" w:cs="Arial"/>
          <w:sz w:val="20"/>
          <w:szCs w:val="20"/>
        </w:rPr>
        <w:t xml:space="preserve">. </w:t>
      </w:r>
    </w:p>
    <w:p w:rsidR="002F2B98" w:rsidRDefault="005F2C22" w:rsidP="00F90E24">
      <w:pPr>
        <w:jc w:val="both"/>
        <w:rPr>
          <w:rFonts w:ascii="Verdana" w:hAnsi="Verdana"/>
          <w:sz w:val="20"/>
          <w:szCs w:val="20"/>
          <w:lang w:val="ro-RO"/>
        </w:rPr>
      </w:pPr>
      <w:r w:rsidRPr="003A3842">
        <w:rPr>
          <w:rFonts w:ascii="Verdana" w:hAnsi="Verdana"/>
          <w:sz w:val="20"/>
          <w:szCs w:val="20"/>
          <w:lang w:val="ro-RO"/>
        </w:rPr>
        <w:t xml:space="preserve">Exporturile </w:t>
      </w:r>
      <w:r w:rsidR="002F2B98">
        <w:rPr>
          <w:rFonts w:ascii="Verdana" w:hAnsi="Verdana"/>
          <w:sz w:val="20"/>
          <w:szCs w:val="20"/>
          <w:lang w:val="ro-RO"/>
        </w:rPr>
        <w:t xml:space="preserve">realizate de </w:t>
      </w:r>
      <w:r w:rsidR="002F2B98" w:rsidRPr="003A3842">
        <w:rPr>
          <w:rFonts w:ascii="Verdana" w:hAnsi="Verdana"/>
          <w:sz w:val="20"/>
          <w:szCs w:val="20"/>
          <w:lang w:val="ro-RO"/>
        </w:rPr>
        <w:t xml:space="preserve">diviziile de rafinare şi petrochimie </w:t>
      </w:r>
      <w:r w:rsidR="002F2B98">
        <w:rPr>
          <w:rFonts w:ascii="Verdana" w:hAnsi="Verdana"/>
          <w:sz w:val="20"/>
          <w:szCs w:val="20"/>
          <w:lang w:val="ro-RO"/>
        </w:rPr>
        <w:t xml:space="preserve">ale </w:t>
      </w:r>
      <w:r w:rsidR="00B87BA7" w:rsidRPr="003A3842">
        <w:rPr>
          <w:rFonts w:ascii="Verdana" w:hAnsi="Verdana"/>
          <w:sz w:val="20"/>
          <w:szCs w:val="20"/>
          <w:lang w:val="ro-RO"/>
        </w:rPr>
        <w:t>Rompetrol Rafinare</w:t>
      </w:r>
      <w:r w:rsidR="00C9595A" w:rsidRPr="003A3842">
        <w:rPr>
          <w:rFonts w:ascii="Verdana" w:hAnsi="Verdana"/>
          <w:sz w:val="20"/>
          <w:szCs w:val="20"/>
          <w:lang w:val="ro-RO"/>
        </w:rPr>
        <w:t xml:space="preserve"> </w:t>
      </w:r>
      <w:r w:rsidR="002F2B98" w:rsidRPr="003A3842">
        <w:rPr>
          <w:rFonts w:ascii="Verdana" w:hAnsi="Verdana"/>
          <w:sz w:val="20"/>
          <w:szCs w:val="20"/>
          <w:lang w:val="ro-RO"/>
        </w:rPr>
        <w:t>s-au cifrat</w:t>
      </w:r>
      <w:r w:rsidR="002F2B98">
        <w:rPr>
          <w:rFonts w:ascii="Verdana" w:hAnsi="Verdana"/>
          <w:sz w:val="20"/>
          <w:szCs w:val="20"/>
          <w:lang w:val="ro-RO"/>
        </w:rPr>
        <w:t xml:space="preserve"> în 2017</w:t>
      </w:r>
      <w:r w:rsidR="002F2B98" w:rsidRPr="003A3842">
        <w:rPr>
          <w:rFonts w:ascii="Verdana" w:hAnsi="Verdana"/>
          <w:sz w:val="20"/>
          <w:szCs w:val="20"/>
          <w:lang w:val="ro-RO"/>
        </w:rPr>
        <w:t xml:space="preserve"> la 1,34 miliarde USD, în creștere cu 22% comparativ cu 2016</w:t>
      </w:r>
      <w:r w:rsidR="001C22AB">
        <w:rPr>
          <w:rFonts w:ascii="Verdana" w:hAnsi="Verdana"/>
          <w:sz w:val="20"/>
          <w:szCs w:val="20"/>
          <w:lang w:val="ro-RO"/>
        </w:rPr>
        <w:t>, compania fiind î</w:t>
      </w:r>
      <w:r w:rsidR="002F2B98">
        <w:rPr>
          <w:rFonts w:ascii="Verdana" w:hAnsi="Verdana"/>
          <w:sz w:val="20"/>
          <w:szCs w:val="20"/>
          <w:lang w:val="ro-RO"/>
        </w:rPr>
        <w:t xml:space="preserve">n continuare </w:t>
      </w:r>
      <w:r w:rsidR="002F2B98" w:rsidRPr="003A3842">
        <w:rPr>
          <w:rFonts w:ascii="Verdana" w:hAnsi="Verdana"/>
          <w:sz w:val="20"/>
          <w:szCs w:val="20"/>
          <w:lang w:val="ro-RO"/>
        </w:rPr>
        <w:t xml:space="preserve">cel </w:t>
      </w:r>
      <w:proofErr w:type="spellStart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>mai</w:t>
      </w:r>
      <w:proofErr w:type="spellEnd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 xml:space="preserve"> mare </w:t>
      </w:r>
      <w:proofErr w:type="spellStart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>exportator</w:t>
      </w:r>
      <w:proofErr w:type="spellEnd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 xml:space="preserve"> de </w:t>
      </w:r>
      <w:proofErr w:type="spellStart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>produse</w:t>
      </w:r>
      <w:proofErr w:type="spellEnd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>petroliere</w:t>
      </w:r>
      <w:proofErr w:type="spellEnd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 xml:space="preserve"> al </w:t>
      </w:r>
      <w:proofErr w:type="spellStart"/>
      <w:r w:rsidR="002F2B98" w:rsidRPr="003A3842">
        <w:rPr>
          <w:rFonts w:ascii="Verdana" w:hAnsi="Verdana"/>
          <w:sz w:val="20"/>
          <w:szCs w:val="20"/>
          <w:shd w:val="clear" w:color="auto" w:fill="FFFFFF"/>
        </w:rPr>
        <w:t>României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.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Livrările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s-au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realizat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atât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către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stațiile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Rompetrol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din Moldova, Bulgaria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și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Georgia,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dar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și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F2B98">
        <w:rPr>
          <w:rFonts w:ascii="Verdana" w:hAnsi="Verdana"/>
          <w:sz w:val="20"/>
          <w:szCs w:val="20"/>
          <w:shd w:val="clear" w:color="auto" w:fill="FFFFFF"/>
        </w:rPr>
        <w:t>către</w:t>
      </w:r>
      <w:proofErr w:type="spellEnd"/>
      <w:r w:rsidR="002F2B98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2F2B98" w:rsidRPr="003A3842">
        <w:rPr>
          <w:rFonts w:ascii="Verdana" w:hAnsi="Verdana"/>
          <w:sz w:val="20"/>
          <w:szCs w:val="20"/>
          <w:lang w:val="ro-RO"/>
        </w:rPr>
        <w:t>partenerii din regiunea Mării Negre</w:t>
      </w:r>
      <w:r w:rsidR="002F2B98">
        <w:rPr>
          <w:rFonts w:ascii="Verdana" w:hAnsi="Verdana"/>
          <w:sz w:val="20"/>
          <w:szCs w:val="20"/>
          <w:lang w:val="ro-RO"/>
        </w:rPr>
        <w:t>.</w:t>
      </w:r>
    </w:p>
    <w:p w:rsidR="00284F6D" w:rsidRPr="003A3842" w:rsidRDefault="005F2C22" w:rsidP="00284F6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Compania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a</w:t>
      </w:r>
      <w:r w:rsidR="00284F6D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84F6D" w:rsidRPr="003A3842">
        <w:rPr>
          <w:rFonts w:ascii="Verdana" w:hAnsi="Verdana" w:cs="Arial"/>
          <w:sz w:val="20"/>
          <w:szCs w:val="20"/>
        </w:rPr>
        <w:t>continuat</w:t>
      </w:r>
      <w:proofErr w:type="spellEnd"/>
      <w:r w:rsidR="00284F6D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84F6D" w:rsidRPr="003A3842">
        <w:rPr>
          <w:rFonts w:ascii="Verdana" w:hAnsi="Verdana" w:cs="Arial"/>
          <w:sz w:val="20"/>
          <w:szCs w:val="20"/>
        </w:rPr>
        <w:t>să</w:t>
      </w:r>
      <w:proofErr w:type="spellEnd"/>
      <w:r w:rsidR="00284F6D" w:rsidRPr="003A3842">
        <w:rPr>
          <w:rFonts w:ascii="Verdana" w:hAnsi="Verdana" w:cs="Arial"/>
          <w:sz w:val="20"/>
          <w:szCs w:val="20"/>
        </w:rPr>
        <w:t xml:space="preserve"> fie un </w:t>
      </w:r>
      <w:proofErr w:type="spellStart"/>
      <w:r w:rsidR="00284F6D" w:rsidRPr="003A3842">
        <w:rPr>
          <w:rFonts w:ascii="Verdana" w:hAnsi="Verdana" w:cs="Arial"/>
          <w:sz w:val="20"/>
          <w:szCs w:val="20"/>
        </w:rPr>
        <w:t>contribuabil</w:t>
      </w:r>
      <w:proofErr w:type="spellEnd"/>
      <w:r w:rsidR="00284F6D" w:rsidRPr="003A3842">
        <w:rPr>
          <w:rFonts w:ascii="Verdana" w:hAnsi="Verdana" w:cs="Arial"/>
          <w:sz w:val="20"/>
          <w:szCs w:val="20"/>
        </w:rPr>
        <w:t xml:space="preserve"> important la </w:t>
      </w:r>
      <w:proofErr w:type="spellStart"/>
      <w:r w:rsidR="00284F6D" w:rsidRPr="003A3842">
        <w:rPr>
          <w:rFonts w:ascii="Verdana" w:hAnsi="Verdana" w:cs="Arial"/>
          <w:sz w:val="20"/>
          <w:szCs w:val="20"/>
        </w:rPr>
        <w:t>bugetul</w:t>
      </w:r>
      <w:proofErr w:type="spellEnd"/>
      <w:r w:rsidR="00284F6D" w:rsidRPr="003A3842">
        <w:rPr>
          <w:rFonts w:ascii="Verdana" w:hAnsi="Verdana" w:cs="Arial"/>
          <w:sz w:val="20"/>
          <w:szCs w:val="20"/>
        </w:rPr>
        <w:t xml:space="preserve"> de stat al </w:t>
      </w:r>
      <w:proofErr w:type="spellStart"/>
      <w:r w:rsidR="00284F6D" w:rsidRPr="003A3842">
        <w:rPr>
          <w:rFonts w:ascii="Verdana" w:hAnsi="Verdana" w:cs="Arial"/>
          <w:sz w:val="20"/>
          <w:szCs w:val="20"/>
        </w:rPr>
        <w:t>României</w:t>
      </w:r>
      <w:proofErr w:type="spellEnd"/>
      <w:r w:rsidR="00284F6D" w:rsidRPr="003A3842">
        <w:rPr>
          <w:rFonts w:ascii="Verdana" w:hAnsi="Verdana" w:cs="Arial"/>
          <w:sz w:val="20"/>
          <w:szCs w:val="20"/>
        </w:rPr>
        <w:t xml:space="preserve">, </w:t>
      </w:r>
      <w:r w:rsidR="002F2B98">
        <w:rPr>
          <w:rFonts w:ascii="Verdana" w:hAnsi="Verdana" w:cs="Arial"/>
          <w:sz w:val="20"/>
          <w:szCs w:val="20"/>
        </w:rPr>
        <w:t xml:space="preserve">cu un </w:t>
      </w:r>
      <w:proofErr w:type="spellStart"/>
      <w:r w:rsidR="002F2B98">
        <w:rPr>
          <w:rFonts w:ascii="Verdana" w:hAnsi="Verdana" w:cs="Arial"/>
          <w:sz w:val="20"/>
          <w:szCs w:val="20"/>
        </w:rPr>
        <w:t>aport</w:t>
      </w:r>
      <w:proofErr w:type="spellEnd"/>
      <w:r w:rsidR="002F2B98">
        <w:rPr>
          <w:rFonts w:ascii="Verdana" w:hAnsi="Verdana" w:cs="Arial"/>
          <w:sz w:val="20"/>
          <w:szCs w:val="20"/>
        </w:rPr>
        <w:t xml:space="preserve"> de</w:t>
      </w:r>
      <w:r w:rsidR="00284F6D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84F6D" w:rsidRPr="003A3842">
        <w:rPr>
          <w:rFonts w:ascii="Verdana" w:hAnsi="Verdana" w:cs="Arial"/>
          <w:sz w:val="20"/>
          <w:szCs w:val="20"/>
        </w:rPr>
        <w:t>peste</w:t>
      </w:r>
      <w:proofErr w:type="spellEnd"/>
      <w:r w:rsidR="00284F6D" w:rsidRPr="003A3842">
        <w:rPr>
          <w:rFonts w:ascii="Verdana" w:hAnsi="Verdana" w:cs="Arial"/>
          <w:sz w:val="20"/>
          <w:szCs w:val="20"/>
        </w:rPr>
        <w:t xml:space="preserve"> </w:t>
      </w:r>
      <w:r w:rsidR="00D516BA" w:rsidRPr="003A3842">
        <w:rPr>
          <w:rFonts w:ascii="Verdana" w:hAnsi="Verdana" w:cs="Arial"/>
          <w:sz w:val="20"/>
          <w:szCs w:val="20"/>
        </w:rPr>
        <w:t>1,2</w:t>
      </w:r>
      <w:r w:rsidR="00374063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516BA" w:rsidRPr="003A3842">
        <w:rPr>
          <w:rFonts w:ascii="Verdana" w:hAnsi="Verdana" w:cs="Arial"/>
          <w:sz w:val="20"/>
          <w:szCs w:val="20"/>
        </w:rPr>
        <w:t>miliarde</w:t>
      </w:r>
      <w:proofErr w:type="spellEnd"/>
      <w:r w:rsidR="00D516BA" w:rsidRPr="003A3842">
        <w:rPr>
          <w:rFonts w:ascii="Verdana" w:hAnsi="Verdana" w:cs="Arial"/>
          <w:sz w:val="20"/>
          <w:szCs w:val="20"/>
        </w:rPr>
        <w:t xml:space="preserve"> USD </w:t>
      </w:r>
      <w:proofErr w:type="spellStart"/>
      <w:r w:rsidR="002F2B98">
        <w:rPr>
          <w:rFonts w:ascii="Verdana" w:hAnsi="Verdana" w:cs="Arial"/>
          <w:sz w:val="20"/>
          <w:szCs w:val="20"/>
        </w:rPr>
        <w:t>a</w:t>
      </w:r>
      <w:r w:rsidR="00215BEF">
        <w:rPr>
          <w:rFonts w:ascii="Verdana" w:hAnsi="Verdana" w:cs="Arial"/>
          <w:sz w:val="20"/>
          <w:szCs w:val="20"/>
        </w:rPr>
        <w:t>nul</w:t>
      </w:r>
      <w:proofErr w:type="spellEnd"/>
      <w:r w:rsidR="00215BE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15BEF">
        <w:rPr>
          <w:rFonts w:ascii="Verdana" w:hAnsi="Verdana" w:cs="Arial"/>
          <w:sz w:val="20"/>
          <w:szCs w:val="20"/>
        </w:rPr>
        <w:t>trecut</w:t>
      </w:r>
      <w:proofErr w:type="spellEnd"/>
      <w:r w:rsidR="00560B37" w:rsidRPr="003A384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560B37" w:rsidRPr="003A3842">
        <w:rPr>
          <w:rFonts w:ascii="Verdana" w:hAnsi="Verdana" w:cs="Arial"/>
          <w:sz w:val="20"/>
          <w:szCs w:val="20"/>
        </w:rPr>
        <w:t>V</w:t>
      </w:r>
      <w:r w:rsidR="00D12E3C" w:rsidRPr="003A3842">
        <w:rPr>
          <w:rFonts w:ascii="Verdana" w:hAnsi="Verdana" w:cs="Arial"/>
          <w:sz w:val="20"/>
          <w:szCs w:val="20"/>
        </w:rPr>
        <w:t>aloarea</w:t>
      </w:r>
      <w:proofErr w:type="spellEnd"/>
      <w:r w:rsidR="00D12E3C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12E3C" w:rsidRPr="003A3842">
        <w:rPr>
          <w:rFonts w:ascii="Verdana" w:hAnsi="Verdana" w:cs="Arial"/>
          <w:sz w:val="20"/>
          <w:szCs w:val="20"/>
        </w:rPr>
        <w:t>contribuției</w:t>
      </w:r>
      <w:proofErr w:type="spellEnd"/>
      <w:r w:rsidR="00D12E3C" w:rsidRPr="003A3842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="00D12E3C" w:rsidRPr="003A3842">
        <w:rPr>
          <w:rFonts w:ascii="Verdana" w:hAnsi="Verdana" w:cs="Arial"/>
          <w:sz w:val="20"/>
          <w:szCs w:val="20"/>
        </w:rPr>
        <w:t>bugetul</w:t>
      </w:r>
      <w:proofErr w:type="spellEnd"/>
      <w:r w:rsidR="00D12E3C" w:rsidRPr="003A3842">
        <w:rPr>
          <w:rFonts w:ascii="Verdana" w:hAnsi="Verdana" w:cs="Arial"/>
          <w:sz w:val="20"/>
          <w:szCs w:val="20"/>
        </w:rPr>
        <w:t xml:space="preserve"> de stat a </w:t>
      </w:r>
      <w:proofErr w:type="spellStart"/>
      <w:r w:rsidR="00215BEF">
        <w:rPr>
          <w:rFonts w:ascii="Verdana" w:hAnsi="Verdana" w:cs="Arial"/>
          <w:sz w:val="20"/>
          <w:szCs w:val="20"/>
        </w:rPr>
        <w:t>atins</w:t>
      </w:r>
      <w:proofErr w:type="spellEnd"/>
      <w:r w:rsidR="00215BEF">
        <w:rPr>
          <w:rFonts w:ascii="Verdana" w:hAnsi="Verdana" w:cs="Arial"/>
          <w:sz w:val="20"/>
          <w:szCs w:val="20"/>
        </w:rPr>
        <w:t xml:space="preserve"> un </w:t>
      </w:r>
      <w:proofErr w:type="spellStart"/>
      <w:r w:rsidR="00215BEF">
        <w:rPr>
          <w:rFonts w:ascii="Verdana" w:hAnsi="Verdana" w:cs="Arial"/>
          <w:sz w:val="20"/>
          <w:szCs w:val="20"/>
        </w:rPr>
        <w:t>nivel</w:t>
      </w:r>
      <w:proofErr w:type="spellEnd"/>
      <w:r w:rsidR="00215BEF">
        <w:rPr>
          <w:rFonts w:ascii="Verdana" w:hAnsi="Verdana" w:cs="Arial"/>
          <w:sz w:val="20"/>
          <w:szCs w:val="20"/>
        </w:rPr>
        <w:t xml:space="preserve"> total de </w:t>
      </w:r>
      <w:r w:rsidR="008B472E" w:rsidRPr="003A3842">
        <w:rPr>
          <w:rFonts w:ascii="Verdana" w:hAnsi="Verdana" w:cs="Arial"/>
          <w:sz w:val="20"/>
          <w:szCs w:val="20"/>
        </w:rPr>
        <w:t>1</w:t>
      </w:r>
      <w:r w:rsidR="00C96C7C" w:rsidRPr="003A3842">
        <w:rPr>
          <w:rFonts w:ascii="Verdana" w:hAnsi="Verdana" w:cs="Arial"/>
          <w:sz w:val="20"/>
          <w:szCs w:val="20"/>
        </w:rPr>
        <w:t>3</w:t>
      </w:r>
      <w:r w:rsidR="008B472E" w:rsidRPr="003A3842">
        <w:rPr>
          <w:rFonts w:ascii="Verdana" w:hAnsi="Verdana" w:cs="Arial"/>
          <w:sz w:val="20"/>
          <w:szCs w:val="20"/>
        </w:rPr>
        <w:t>,</w:t>
      </w:r>
      <w:r w:rsidR="00C96C7C" w:rsidRPr="003A3842">
        <w:rPr>
          <w:rFonts w:ascii="Verdana" w:hAnsi="Verdana" w:cs="Arial"/>
          <w:sz w:val="20"/>
          <w:szCs w:val="20"/>
        </w:rPr>
        <w:t>7</w:t>
      </w:r>
      <w:r w:rsidR="008B472E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12E3C" w:rsidRPr="003A3842">
        <w:rPr>
          <w:rFonts w:ascii="Verdana" w:hAnsi="Verdana" w:cs="Arial"/>
          <w:sz w:val="20"/>
          <w:szCs w:val="20"/>
        </w:rPr>
        <w:t>miliarde</w:t>
      </w:r>
      <w:proofErr w:type="spellEnd"/>
      <w:r w:rsidR="00D12E3C" w:rsidRPr="003A3842">
        <w:rPr>
          <w:rFonts w:ascii="Verdana" w:hAnsi="Verdana" w:cs="Arial"/>
          <w:sz w:val="20"/>
          <w:szCs w:val="20"/>
        </w:rPr>
        <w:t xml:space="preserve"> USD </w:t>
      </w:r>
      <w:proofErr w:type="spellStart"/>
      <w:r w:rsidR="00D12E3C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D12E3C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12E3C" w:rsidRPr="003A3842">
        <w:rPr>
          <w:rFonts w:ascii="Verdana" w:hAnsi="Verdana" w:cs="Arial"/>
          <w:sz w:val="20"/>
          <w:szCs w:val="20"/>
        </w:rPr>
        <w:t>perioada</w:t>
      </w:r>
      <w:proofErr w:type="spellEnd"/>
      <w:r w:rsidR="00D12E3C" w:rsidRPr="003A3842">
        <w:rPr>
          <w:rFonts w:ascii="Verdana" w:hAnsi="Verdana" w:cs="Arial"/>
          <w:sz w:val="20"/>
          <w:szCs w:val="20"/>
        </w:rPr>
        <w:t xml:space="preserve"> 2007 – 201</w:t>
      </w:r>
      <w:r w:rsidR="00C96C7C" w:rsidRPr="003A3842">
        <w:rPr>
          <w:rFonts w:ascii="Verdana" w:hAnsi="Verdana" w:cs="Arial"/>
          <w:sz w:val="20"/>
          <w:szCs w:val="20"/>
        </w:rPr>
        <w:t>7</w:t>
      </w:r>
      <w:r w:rsidR="00D12E3C" w:rsidRPr="003A3842">
        <w:rPr>
          <w:rFonts w:ascii="Verdana" w:hAnsi="Verdana" w:cs="Arial"/>
          <w:sz w:val="20"/>
          <w:szCs w:val="20"/>
        </w:rPr>
        <w:t xml:space="preserve">. </w:t>
      </w:r>
    </w:p>
    <w:p w:rsidR="00E07A7C" w:rsidRPr="003A3842" w:rsidRDefault="00E07A7C" w:rsidP="00284F6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215BEF" w:rsidRDefault="00215BEF" w:rsidP="00D4685D">
      <w:pPr>
        <w:jc w:val="both"/>
        <w:rPr>
          <w:rFonts w:ascii="Verdana" w:hAnsi="Verdana"/>
          <w:sz w:val="20"/>
          <w:szCs w:val="20"/>
          <w:lang w:val="ro-RO"/>
        </w:rPr>
      </w:pPr>
      <w:proofErr w:type="spellStart"/>
      <w:r>
        <w:rPr>
          <w:rFonts w:ascii="Verdana" w:hAnsi="Verdana"/>
          <w:sz w:val="20"/>
          <w:szCs w:val="20"/>
        </w:rPr>
        <w:t>Principalii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acționari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ai</w:t>
      </w:r>
      <w:proofErr w:type="spellEnd"/>
      <w:r w:rsidR="00E17278" w:rsidRPr="003A3842">
        <w:rPr>
          <w:rFonts w:ascii="Verdana" w:hAnsi="Verdana"/>
          <w:sz w:val="20"/>
          <w:szCs w:val="20"/>
        </w:rPr>
        <w:t xml:space="preserve"> </w:t>
      </w:r>
      <w:proofErr w:type="spellStart"/>
      <w:r w:rsidR="00E17278" w:rsidRPr="003A3842">
        <w:rPr>
          <w:rFonts w:ascii="Verdana" w:hAnsi="Verdana"/>
          <w:sz w:val="20"/>
          <w:szCs w:val="20"/>
        </w:rPr>
        <w:t>Rompetrol</w:t>
      </w:r>
      <w:proofErr w:type="spellEnd"/>
      <w:r w:rsidR="00E17278" w:rsidRPr="003A3842">
        <w:rPr>
          <w:rFonts w:ascii="Verdana" w:hAnsi="Verdana"/>
          <w:sz w:val="20"/>
          <w:szCs w:val="20"/>
        </w:rPr>
        <w:t xml:space="preserve"> Rafinare</w:t>
      </w:r>
      <w:r w:rsidR="00C9595A" w:rsidRPr="003A3842">
        <w:rPr>
          <w:rFonts w:ascii="Verdana" w:hAnsi="Verdana"/>
          <w:sz w:val="20"/>
          <w:szCs w:val="20"/>
        </w:rPr>
        <w:t xml:space="preserve"> </w:t>
      </w:r>
      <w:r w:rsidR="004854E1">
        <w:rPr>
          <w:rFonts w:ascii="Verdana" w:hAnsi="Verdana"/>
          <w:sz w:val="20"/>
          <w:szCs w:val="20"/>
        </w:rPr>
        <w:t xml:space="preserve">SA </w:t>
      </w:r>
      <w:proofErr w:type="spellStart"/>
      <w:r>
        <w:rPr>
          <w:rFonts w:ascii="Verdana" w:hAnsi="Verdana"/>
          <w:sz w:val="20"/>
          <w:szCs w:val="20"/>
        </w:rPr>
        <w:t>sunt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E17278" w:rsidRPr="003A3842">
        <w:rPr>
          <w:rFonts w:ascii="Verdana" w:hAnsi="Verdana"/>
          <w:sz w:val="20"/>
          <w:szCs w:val="20"/>
        </w:rPr>
        <w:t>KMG International</w:t>
      </w:r>
      <w:r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  <w:lang w:val="ro-RO"/>
        </w:rPr>
        <w:t>54,63% - direct ș</w:t>
      </w:r>
      <w:r w:rsidRPr="00B065B1">
        <w:rPr>
          <w:rFonts w:ascii="Verdana" w:hAnsi="Verdana"/>
          <w:sz w:val="20"/>
          <w:szCs w:val="20"/>
          <w:lang w:val="ro-RO"/>
        </w:rPr>
        <w:t xml:space="preserve">i indirect) și </w:t>
      </w:r>
      <w:r w:rsidR="004854E1">
        <w:rPr>
          <w:rFonts w:ascii="Verdana" w:hAnsi="Verdana"/>
          <w:sz w:val="20"/>
          <w:szCs w:val="20"/>
          <w:lang w:val="ro-RO"/>
        </w:rPr>
        <w:t>S</w:t>
      </w:r>
      <w:r w:rsidRPr="00B065B1">
        <w:rPr>
          <w:rFonts w:ascii="Verdana" w:hAnsi="Verdana"/>
          <w:sz w:val="20"/>
          <w:szCs w:val="20"/>
          <w:lang w:val="ro-RO"/>
        </w:rPr>
        <w:t>tatul român prin Ministerul Energiei (44,69%).</w:t>
      </w:r>
    </w:p>
    <w:p w:rsidR="0025537A" w:rsidRDefault="0025537A" w:rsidP="00D579FE">
      <w:pPr>
        <w:jc w:val="both"/>
        <w:rPr>
          <w:rFonts w:ascii="Verdana" w:hAnsi="Verdana"/>
          <w:b/>
          <w:sz w:val="20"/>
          <w:szCs w:val="20"/>
        </w:rPr>
      </w:pPr>
    </w:p>
    <w:p w:rsidR="00D579FE" w:rsidRPr="003A3842" w:rsidRDefault="00D579FE" w:rsidP="00D579FE">
      <w:pPr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3A3842">
        <w:rPr>
          <w:rFonts w:ascii="Verdana" w:hAnsi="Verdana"/>
          <w:b/>
          <w:sz w:val="20"/>
          <w:szCs w:val="20"/>
        </w:rPr>
        <w:lastRenderedPageBreak/>
        <w:t>Segmentul</w:t>
      </w:r>
      <w:proofErr w:type="spellEnd"/>
      <w:r w:rsidRPr="003A3842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/>
          <w:b/>
          <w:sz w:val="20"/>
          <w:szCs w:val="20"/>
        </w:rPr>
        <w:t>rafinare</w:t>
      </w:r>
      <w:proofErr w:type="spellEnd"/>
      <w:r w:rsidRPr="003A3842">
        <w:rPr>
          <w:rFonts w:ascii="Verdana" w:hAnsi="Verdana"/>
          <w:b/>
          <w:sz w:val="20"/>
          <w:szCs w:val="20"/>
        </w:rPr>
        <w:t xml:space="preserve">   </w:t>
      </w:r>
    </w:p>
    <w:tbl>
      <w:tblPr>
        <w:tblStyle w:val="TableGrid"/>
        <w:tblW w:w="10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37"/>
        <w:gridCol w:w="781"/>
        <w:gridCol w:w="1833"/>
        <w:gridCol w:w="2077"/>
        <w:gridCol w:w="1325"/>
      </w:tblGrid>
      <w:tr w:rsidR="003A3842" w:rsidRPr="003A3842" w:rsidTr="003A3842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AD7394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>inanciar</w:t>
            </w:r>
            <w:proofErr w:type="spellEnd"/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285AB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48483C" w:rsidRPr="003A3842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285AB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>201</w:t>
            </w:r>
            <w:r w:rsidR="0048483C" w:rsidRPr="003A3842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285AB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3A3842" w:rsidRPr="003A3842" w:rsidTr="003A3842">
        <w:trPr>
          <w:trHeight w:val="326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48483C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Cifra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afaceri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brută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3.479.314.807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2.898.959.937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20%</w:t>
            </w:r>
          </w:p>
        </w:tc>
      </w:tr>
      <w:tr w:rsidR="003A3842" w:rsidRPr="003A3842" w:rsidTr="003A3842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48483C">
            <w:pPr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EBITDA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164.429.049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124.717.672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32%</w:t>
            </w:r>
          </w:p>
        </w:tc>
      </w:tr>
      <w:tr w:rsidR="003A3842" w:rsidRPr="003A3842" w:rsidTr="003A3842">
        <w:trPr>
          <w:trHeight w:val="58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48483C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Rezultat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net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9.073.806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45.542.814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-80%</w:t>
            </w:r>
          </w:p>
        </w:tc>
      </w:tr>
      <w:tr w:rsidR="003A3842" w:rsidRPr="003A3842" w:rsidTr="003A3842">
        <w:trPr>
          <w:trHeight w:val="58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AD7394" w:rsidP="0048483C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48483C" w:rsidRPr="003A3842">
              <w:rPr>
                <w:rFonts w:ascii="Verdana" w:hAnsi="Verdana"/>
                <w:b/>
                <w:sz w:val="20"/>
                <w:szCs w:val="20"/>
              </w:rPr>
              <w:t>peraţional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C" w:rsidRPr="003A3842" w:rsidRDefault="0048483C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C" w:rsidRPr="003A3842" w:rsidRDefault="0048483C" w:rsidP="0061544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C" w:rsidRPr="003A3842" w:rsidRDefault="0048483C" w:rsidP="0061544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3C" w:rsidRPr="003A3842" w:rsidRDefault="0048483C" w:rsidP="00615444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A3842" w:rsidRPr="003A3842" w:rsidTr="003A3842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215BEF" w:rsidRDefault="0048483C" w:rsidP="0048483C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215BEF">
              <w:rPr>
                <w:rFonts w:ascii="Verdana" w:hAnsi="Verdana"/>
                <w:sz w:val="20"/>
                <w:szCs w:val="20"/>
              </w:rPr>
              <w:t>Materii</w:t>
            </w:r>
            <w:proofErr w:type="spellEnd"/>
            <w:r w:rsidRPr="00215BEF">
              <w:rPr>
                <w:rFonts w:ascii="Verdana" w:hAnsi="Verdana"/>
                <w:sz w:val="20"/>
                <w:szCs w:val="20"/>
              </w:rPr>
              <w:t xml:space="preserve"> prime </w:t>
            </w:r>
            <w:proofErr w:type="spellStart"/>
            <w:r w:rsidRPr="00215BEF">
              <w:rPr>
                <w:rFonts w:ascii="Verdana" w:hAnsi="Verdana"/>
                <w:sz w:val="20"/>
                <w:szCs w:val="20"/>
              </w:rPr>
              <w:t>prelucrate</w:t>
            </w:r>
            <w:proofErr w:type="spellEnd"/>
            <w:r w:rsidR="00F04A34" w:rsidRPr="00215BE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A3842" w:rsidRPr="00215BE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04A34" w:rsidRPr="00215BEF">
              <w:rPr>
                <w:rFonts w:ascii="Verdana" w:hAnsi="Verdana"/>
                <w:sz w:val="20"/>
                <w:szCs w:val="20"/>
              </w:rPr>
              <w:t>Petromidia</w:t>
            </w:r>
            <w:r w:rsidRPr="00215BE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83C" w:rsidRPr="003A3842" w:rsidRDefault="0048483C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F04A34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5.662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F04A34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5.408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3C" w:rsidRPr="003A3842" w:rsidRDefault="0048483C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5%</w:t>
            </w:r>
          </w:p>
        </w:tc>
      </w:tr>
      <w:tr w:rsidR="00215BEF" w:rsidRPr="003A3842" w:rsidTr="003A3842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EF" w:rsidRPr="00215BEF" w:rsidRDefault="00215BEF" w:rsidP="00215BE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15BEF">
              <w:rPr>
                <w:rFonts w:ascii="Verdana" w:eastAsia="Times New Roman" w:hAnsi="Verdana" w:cs="Arial"/>
                <w:sz w:val="20"/>
                <w:szCs w:val="20"/>
              </w:rPr>
              <w:t>Materii</w:t>
            </w:r>
            <w:proofErr w:type="spellEnd"/>
            <w:r w:rsidRPr="00215BEF">
              <w:rPr>
                <w:rFonts w:ascii="Verdana" w:eastAsia="Times New Roman" w:hAnsi="Verdana" w:cs="Arial"/>
                <w:sz w:val="20"/>
                <w:szCs w:val="20"/>
              </w:rPr>
              <w:t xml:space="preserve"> prime </w:t>
            </w:r>
            <w:proofErr w:type="spellStart"/>
            <w:r w:rsidRPr="00215BEF">
              <w:rPr>
                <w:rFonts w:ascii="Verdana" w:eastAsia="Times New Roman" w:hAnsi="Verdana" w:cs="Arial"/>
                <w:sz w:val="20"/>
                <w:szCs w:val="20"/>
              </w:rPr>
              <w:t>procesate</w:t>
            </w:r>
            <w:proofErr w:type="spellEnd"/>
            <w:r w:rsidRPr="00215BEF">
              <w:rPr>
                <w:rFonts w:ascii="Verdana" w:eastAsia="Times New Roman" w:hAnsi="Verdana" w:cs="Arial"/>
                <w:sz w:val="20"/>
                <w:szCs w:val="20"/>
              </w:rPr>
              <w:t xml:space="preserve"> -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r w:rsidRPr="00215BEF">
              <w:rPr>
                <w:rFonts w:ascii="Verdana" w:eastAsia="Times New Roman" w:hAnsi="Verdana" w:cs="Arial"/>
                <w:sz w:val="20"/>
                <w:szCs w:val="20"/>
              </w:rPr>
              <w:t>Vega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EF" w:rsidRPr="003A3842" w:rsidRDefault="00215BEF" w:rsidP="00215BE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F" w:rsidRPr="003A3842" w:rsidRDefault="00215BEF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767D0A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F" w:rsidRPr="003A3842" w:rsidRDefault="00215BEF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767D0A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EF" w:rsidRPr="003A3842" w:rsidRDefault="00215BEF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767D0A">
              <w:rPr>
                <w:rFonts w:ascii="Arial" w:eastAsia="Times New Roman" w:hAnsi="Arial" w:cs="Arial"/>
                <w:sz w:val="20"/>
                <w:szCs w:val="20"/>
              </w:rPr>
              <w:t>5%</w:t>
            </w:r>
          </w:p>
        </w:tc>
      </w:tr>
      <w:tr w:rsidR="003A3842" w:rsidRPr="003A3842" w:rsidTr="00615444">
        <w:trPr>
          <w:trHeight w:val="185"/>
        </w:trPr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17" w:rsidRPr="00215BEF" w:rsidRDefault="00E33D17" w:rsidP="00E33D17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215BEF">
              <w:rPr>
                <w:rFonts w:ascii="Verdana" w:hAnsi="Verdana"/>
                <w:sz w:val="20"/>
                <w:szCs w:val="20"/>
              </w:rPr>
              <w:t>Vânzări</w:t>
            </w:r>
            <w:proofErr w:type="spellEnd"/>
            <w:r w:rsidRPr="00215BE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15BEF">
              <w:rPr>
                <w:rFonts w:ascii="Verdana" w:hAnsi="Verdana"/>
                <w:sz w:val="20"/>
                <w:szCs w:val="20"/>
              </w:rPr>
              <w:t>carburanţi</w:t>
            </w:r>
            <w:proofErr w:type="spellEnd"/>
            <w:r w:rsidRPr="00215BEF">
              <w:rPr>
                <w:rFonts w:ascii="Verdana" w:hAnsi="Verdana"/>
                <w:sz w:val="20"/>
                <w:szCs w:val="20"/>
              </w:rPr>
              <w:t xml:space="preserve"> intern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17" w:rsidRPr="003A3842" w:rsidRDefault="00E33D17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17" w:rsidRPr="003A3842" w:rsidRDefault="00E33D17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2.128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17" w:rsidRPr="003A3842" w:rsidRDefault="00E33D17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1.884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17" w:rsidRPr="003A3842" w:rsidRDefault="00E33D17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13%</w:t>
            </w:r>
          </w:p>
        </w:tc>
      </w:tr>
      <w:tr w:rsidR="003A3842" w:rsidRPr="003A3842" w:rsidTr="003A3842"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17" w:rsidRPr="00215BEF" w:rsidRDefault="00E33D17" w:rsidP="00E33D17">
            <w:p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215BEF">
              <w:rPr>
                <w:rFonts w:ascii="Verdana" w:hAnsi="Verdana"/>
                <w:sz w:val="20"/>
                <w:szCs w:val="20"/>
              </w:rPr>
              <w:t>Vânzări</w:t>
            </w:r>
            <w:proofErr w:type="spellEnd"/>
            <w:r w:rsidRPr="00215BE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15BEF">
              <w:rPr>
                <w:rFonts w:ascii="Verdana" w:hAnsi="Verdana"/>
                <w:sz w:val="20"/>
                <w:szCs w:val="20"/>
              </w:rPr>
              <w:t>carburanţi</w:t>
            </w:r>
            <w:proofErr w:type="spellEnd"/>
            <w:r w:rsidRPr="00215BEF">
              <w:rPr>
                <w:rFonts w:ascii="Verdana" w:hAnsi="Verdana"/>
                <w:sz w:val="20"/>
                <w:szCs w:val="20"/>
              </w:rPr>
              <w:t xml:space="preserve"> export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D17" w:rsidRPr="003A3842" w:rsidRDefault="00E33D17" w:rsidP="003A384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17" w:rsidRPr="003A3842" w:rsidRDefault="00E33D17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2.111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17" w:rsidRPr="003A3842" w:rsidRDefault="00E33D17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2.118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D17" w:rsidRPr="003A3842" w:rsidRDefault="00E33D17" w:rsidP="00615444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0%</w:t>
            </w:r>
          </w:p>
        </w:tc>
      </w:tr>
    </w:tbl>
    <w:p w:rsidR="00D579FE" w:rsidRPr="003A3842" w:rsidRDefault="009A5322" w:rsidP="00D579FE">
      <w:pPr>
        <w:rPr>
          <w:rFonts w:ascii="Verdana" w:hAnsi="Verdana" w:cs="Times New Roman"/>
          <w:b/>
          <w:sz w:val="20"/>
          <w:szCs w:val="20"/>
          <w:lang w:val="en-GB"/>
        </w:rPr>
      </w:pPr>
      <w:proofErr w:type="spellStart"/>
      <w:r w:rsidRPr="003A3842">
        <w:rPr>
          <w:rFonts w:ascii="Verdana" w:hAnsi="Verdana"/>
          <w:i/>
          <w:sz w:val="20"/>
          <w:szCs w:val="20"/>
        </w:rPr>
        <w:t>Notă</w:t>
      </w:r>
      <w:proofErr w:type="spellEnd"/>
      <w:r w:rsidRPr="003A3842">
        <w:rPr>
          <w:rFonts w:ascii="Verdana" w:hAnsi="Verdana"/>
          <w:i/>
          <w:sz w:val="20"/>
          <w:szCs w:val="20"/>
        </w:rPr>
        <w:t>:</w:t>
      </w:r>
      <w:r w:rsidR="00E6628D" w:rsidRPr="003A3842">
        <w:rPr>
          <w:rFonts w:ascii="Verdana" w:hAnsi="Verdana"/>
          <w:i/>
          <w:sz w:val="20"/>
          <w:szCs w:val="20"/>
        </w:rPr>
        <w:t xml:space="preserve"> </w:t>
      </w:r>
      <w:r w:rsidR="008071D4" w:rsidRPr="003A3842">
        <w:rPr>
          <w:rFonts w:ascii="Verdana" w:hAnsi="Verdana" w:cs="Arial"/>
          <w:i/>
          <w:sz w:val="20"/>
          <w:szCs w:val="20"/>
          <w:lang w:val="ro-RO"/>
        </w:rPr>
        <w:t>Segmentul</w:t>
      </w:r>
      <w:r w:rsidR="00E6628D" w:rsidRPr="003A3842">
        <w:rPr>
          <w:rFonts w:ascii="Verdana" w:hAnsi="Verdana" w:cs="Arial"/>
          <w:i/>
          <w:sz w:val="20"/>
          <w:szCs w:val="20"/>
          <w:lang w:val="ro-RO"/>
        </w:rPr>
        <w:t xml:space="preserve"> de rafinare cuprinde rezultatele societ</w:t>
      </w:r>
      <w:r w:rsidRPr="003A3842">
        <w:rPr>
          <w:rFonts w:ascii="Verdana" w:hAnsi="Verdana" w:cs="Arial"/>
          <w:i/>
          <w:sz w:val="20"/>
          <w:szCs w:val="20"/>
          <w:lang w:val="ro-RO"/>
        </w:rPr>
        <w:t>ăţ</w:t>
      </w:r>
      <w:r w:rsidR="00E6628D" w:rsidRPr="003A3842">
        <w:rPr>
          <w:rFonts w:ascii="Verdana" w:hAnsi="Verdana" w:cs="Arial"/>
          <w:i/>
          <w:sz w:val="20"/>
          <w:szCs w:val="20"/>
          <w:lang w:val="ro-RO"/>
        </w:rPr>
        <w:t>ii Rompetrol Rafinare</w:t>
      </w:r>
      <w:r w:rsidR="003A0FB4" w:rsidRPr="003A3842">
        <w:rPr>
          <w:rFonts w:ascii="Verdana" w:hAnsi="Verdana" w:cs="Arial"/>
          <w:i/>
          <w:sz w:val="20"/>
          <w:szCs w:val="20"/>
          <w:lang w:val="ro-RO"/>
        </w:rPr>
        <w:t xml:space="preserve"> </w:t>
      </w:r>
      <w:r w:rsidR="00464B70" w:rsidRPr="003A3842">
        <w:rPr>
          <w:rFonts w:ascii="Verdana" w:hAnsi="Verdana" w:cs="Arial"/>
          <w:i/>
          <w:sz w:val="20"/>
          <w:szCs w:val="20"/>
          <w:lang w:val="ro-RO"/>
        </w:rPr>
        <w:t xml:space="preserve">SA </w:t>
      </w:r>
      <w:r w:rsidR="007A66F8" w:rsidRPr="003A3842">
        <w:rPr>
          <w:rFonts w:ascii="Verdana" w:hAnsi="Verdana" w:cs="Arial"/>
          <w:i/>
          <w:sz w:val="20"/>
          <w:szCs w:val="20"/>
          <w:lang w:val="ro-RO"/>
        </w:rPr>
        <w:t xml:space="preserve">care se refera la activitatea </w:t>
      </w:r>
      <w:r w:rsidR="00E6628D" w:rsidRPr="003A3842">
        <w:rPr>
          <w:rFonts w:ascii="Verdana" w:hAnsi="Verdana" w:cs="Arial"/>
          <w:i/>
          <w:sz w:val="20"/>
          <w:szCs w:val="20"/>
          <w:lang w:val="ro-RO"/>
        </w:rPr>
        <w:t>rafin</w:t>
      </w:r>
      <w:r w:rsidRPr="003A3842">
        <w:rPr>
          <w:rFonts w:ascii="Verdana" w:hAnsi="Verdana" w:cs="Arial"/>
          <w:i/>
          <w:sz w:val="20"/>
          <w:szCs w:val="20"/>
          <w:lang w:val="ro-RO"/>
        </w:rPr>
        <w:t>ă</w:t>
      </w:r>
      <w:r w:rsidR="00E6628D" w:rsidRPr="003A3842">
        <w:rPr>
          <w:rFonts w:ascii="Verdana" w:hAnsi="Verdana" w:cs="Arial"/>
          <w:i/>
          <w:sz w:val="20"/>
          <w:szCs w:val="20"/>
          <w:lang w:val="ro-RO"/>
        </w:rPr>
        <w:t>riil</w:t>
      </w:r>
      <w:r w:rsidR="007A66F8" w:rsidRPr="003A3842">
        <w:rPr>
          <w:rFonts w:ascii="Verdana" w:hAnsi="Verdana" w:cs="Arial"/>
          <w:i/>
          <w:sz w:val="20"/>
          <w:szCs w:val="20"/>
          <w:lang w:val="ro-RO"/>
        </w:rPr>
        <w:t>or</w:t>
      </w:r>
      <w:r w:rsidR="00E6628D" w:rsidRPr="003A3842">
        <w:rPr>
          <w:rFonts w:ascii="Verdana" w:hAnsi="Verdana" w:cs="Arial"/>
          <w:i/>
          <w:sz w:val="20"/>
          <w:szCs w:val="20"/>
          <w:lang w:val="ro-RO"/>
        </w:rPr>
        <w:t xml:space="preserve"> Petromidia </w:t>
      </w:r>
      <w:r w:rsidRPr="003A3842">
        <w:rPr>
          <w:rFonts w:ascii="Verdana" w:hAnsi="Verdana" w:cs="Arial"/>
          <w:i/>
          <w:sz w:val="20"/>
          <w:szCs w:val="20"/>
          <w:lang w:val="ro-RO"/>
        </w:rPr>
        <w:t>ş</w:t>
      </w:r>
      <w:r w:rsidR="00E6628D" w:rsidRPr="003A3842">
        <w:rPr>
          <w:rFonts w:ascii="Verdana" w:hAnsi="Verdana" w:cs="Arial"/>
          <w:i/>
          <w:sz w:val="20"/>
          <w:szCs w:val="20"/>
          <w:lang w:val="ro-RO"/>
        </w:rPr>
        <w:t>i Vega</w:t>
      </w:r>
    </w:p>
    <w:p w:rsidR="00247204" w:rsidRPr="003A3842" w:rsidRDefault="00247204" w:rsidP="00DA1DBF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Pe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rafinare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A3842">
        <w:rPr>
          <w:rFonts w:ascii="Verdana" w:hAnsi="Verdana" w:cs="Arial"/>
          <w:sz w:val="20"/>
          <w:szCs w:val="20"/>
        </w:rPr>
        <w:t>cifra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afaceri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brut</w:t>
      </w:r>
      <w:r w:rsidRPr="003A3842">
        <w:rPr>
          <w:rFonts w:ascii="Verdana" w:hAnsi="Verdana" w:cs="Arial"/>
          <w:sz w:val="20"/>
          <w:szCs w:val="20"/>
          <w:lang w:val="ro-RO"/>
        </w:rPr>
        <w:t xml:space="preserve">ă s-a </w:t>
      </w:r>
      <w:r w:rsidR="002E6686">
        <w:rPr>
          <w:rFonts w:ascii="Verdana" w:hAnsi="Verdana" w:cs="Arial"/>
          <w:sz w:val="20"/>
          <w:szCs w:val="20"/>
          <w:lang w:val="ro-RO"/>
        </w:rPr>
        <w:t xml:space="preserve">ridicat anul trecut </w:t>
      </w:r>
      <w:r w:rsidR="00CC6FFB" w:rsidRPr="003A3842">
        <w:rPr>
          <w:rFonts w:ascii="Verdana" w:hAnsi="Verdana" w:cs="Arial"/>
          <w:sz w:val="20"/>
          <w:szCs w:val="20"/>
          <w:lang w:val="ro-RO"/>
        </w:rPr>
        <w:t>la</w:t>
      </w:r>
      <w:r w:rsidRPr="003A3842">
        <w:rPr>
          <w:rFonts w:ascii="Verdana" w:hAnsi="Verdana" w:cs="Arial"/>
          <w:sz w:val="20"/>
          <w:szCs w:val="20"/>
          <w:lang w:val="ro-RO"/>
        </w:rPr>
        <w:t xml:space="preserve"> </w:t>
      </w:r>
      <w:proofErr w:type="spellStart"/>
      <w:r w:rsidR="00DA1DBF" w:rsidRPr="003A3842">
        <w:rPr>
          <w:rFonts w:ascii="Verdana" w:hAnsi="Verdana" w:cs="Arial"/>
          <w:sz w:val="20"/>
          <w:szCs w:val="20"/>
        </w:rPr>
        <w:t>peste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3,</w:t>
      </w:r>
      <w:r w:rsidRPr="003A3842">
        <w:rPr>
          <w:rFonts w:ascii="Verdana" w:hAnsi="Verdana" w:cs="Arial"/>
          <w:sz w:val="20"/>
          <w:szCs w:val="20"/>
        </w:rPr>
        <w:t>4</w:t>
      </w:r>
      <w:r w:rsidR="00DA1DBF" w:rsidRPr="003A3842">
        <w:rPr>
          <w:rFonts w:ascii="Verdana" w:hAnsi="Verdana" w:cs="Arial"/>
          <w:sz w:val="20"/>
          <w:szCs w:val="20"/>
        </w:rPr>
        <w:t>7</w:t>
      </w:r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A1DBF" w:rsidRPr="003A3842">
        <w:rPr>
          <w:rFonts w:ascii="Verdana" w:hAnsi="Verdana" w:cs="Arial"/>
          <w:sz w:val="20"/>
          <w:szCs w:val="20"/>
        </w:rPr>
        <w:t>miliarde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USD</w:t>
      </w:r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A3842">
        <w:rPr>
          <w:rFonts w:ascii="Verdana" w:hAnsi="Verdana" w:cs="Arial"/>
          <w:sz w:val="20"/>
          <w:szCs w:val="20"/>
        </w:rPr>
        <w:t>în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creș</w:t>
      </w:r>
      <w:r w:rsidR="00DA1DBF" w:rsidRPr="003A3842">
        <w:rPr>
          <w:rFonts w:ascii="Verdana" w:hAnsi="Verdana" w:cs="Arial"/>
          <w:sz w:val="20"/>
          <w:szCs w:val="20"/>
        </w:rPr>
        <w:t>te</w:t>
      </w:r>
      <w:r w:rsidRPr="003A3842">
        <w:rPr>
          <w:rFonts w:ascii="Verdana" w:hAnsi="Verdana" w:cs="Arial"/>
          <w:sz w:val="20"/>
          <w:szCs w:val="20"/>
        </w:rPr>
        <w:t>re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cu 20% </w:t>
      </w:r>
      <w:proofErr w:type="spellStart"/>
      <w:r w:rsidRPr="003A3842">
        <w:rPr>
          <w:rFonts w:ascii="Verdana" w:hAnsi="Verdana" w:cs="Arial"/>
          <w:sz w:val="20"/>
          <w:szCs w:val="20"/>
        </w:rPr>
        <w:t>față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de </w:t>
      </w:r>
      <w:r w:rsidR="002E6686">
        <w:rPr>
          <w:rFonts w:ascii="Verdana" w:hAnsi="Verdana" w:cs="Arial"/>
          <w:sz w:val="20"/>
          <w:szCs w:val="20"/>
        </w:rPr>
        <w:t>2016</w:t>
      </w:r>
      <w:r w:rsidR="00DA1DBF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2E6686">
        <w:rPr>
          <w:rFonts w:ascii="Verdana" w:hAnsi="Verdana" w:cs="Arial"/>
          <w:sz w:val="20"/>
          <w:szCs w:val="20"/>
        </w:rPr>
        <w:t>aceasta</w:t>
      </w:r>
      <w:proofErr w:type="spellEnd"/>
      <w:r w:rsidR="002E6686">
        <w:rPr>
          <w:rFonts w:ascii="Verdana" w:hAnsi="Verdana" w:cs="Arial"/>
          <w:sz w:val="20"/>
          <w:szCs w:val="20"/>
        </w:rPr>
        <w:t xml:space="preserve"> </w:t>
      </w:r>
      <w:r w:rsidRPr="003A3842">
        <w:rPr>
          <w:rFonts w:ascii="Verdana" w:hAnsi="Verdana" w:cs="Arial"/>
          <w:sz w:val="20"/>
          <w:szCs w:val="20"/>
          <w:lang w:val="ro-RO"/>
        </w:rPr>
        <w:t xml:space="preserve">fiind influențată de creșterea volumului produselor procesate și vândute pe piața internă și pe cea externă, precum și de cotațiile internaționale ale produselor petroliere. </w:t>
      </w:r>
    </w:p>
    <w:p w:rsidR="00E67D7F" w:rsidRPr="00B16A7B" w:rsidRDefault="00DA1DBF" w:rsidP="00E67D7F">
      <w:pPr>
        <w:jc w:val="both"/>
        <w:rPr>
          <w:rFonts w:ascii="Verdana" w:hAnsi="Verdana"/>
          <w:sz w:val="20"/>
          <w:szCs w:val="20"/>
          <w:lang w:val="ro-RO"/>
        </w:rPr>
      </w:pPr>
      <w:r w:rsidRPr="003A3842">
        <w:rPr>
          <w:rFonts w:ascii="Verdana" w:hAnsi="Verdana"/>
          <w:sz w:val="20"/>
          <w:szCs w:val="20"/>
          <w:lang w:val="ro-RO"/>
        </w:rPr>
        <w:t>Pe fondul cantității record</w:t>
      </w:r>
      <w:r w:rsidR="003A0FB4" w:rsidRPr="003A3842">
        <w:rPr>
          <w:rFonts w:ascii="Verdana" w:hAnsi="Verdana"/>
          <w:sz w:val="20"/>
          <w:szCs w:val="20"/>
          <w:lang w:val="ro-RO"/>
        </w:rPr>
        <w:t xml:space="preserve"> istoric</w:t>
      </w:r>
      <w:r w:rsidRPr="003A3842">
        <w:rPr>
          <w:rFonts w:ascii="Verdana" w:hAnsi="Verdana"/>
          <w:sz w:val="20"/>
          <w:szCs w:val="20"/>
          <w:lang w:val="ro-RO"/>
        </w:rPr>
        <w:t xml:space="preserve"> de materie primă procesată, rafinăria Petromidia a </w:t>
      </w:r>
      <w:r w:rsidR="002E6686">
        <w:rPr>
          <w:rFonts w:ascii="Verdana" w:hAnsi="Verdana"/>
          <w:sz w:val="20"/>
          <w:szCs w:val="20"/>
          <w:lang w:val="ro-RO"/>
        </w:rPr>
        <w:t>ob</w:t>
      </w:r>
      <w:r w:rsidR="002E6686">
        <w:rPr>
          <w:rFonts w:ascii="Verdana" w:hAnsi="Verdana"/>
          <w:sz w:val="20"/>
          <w:szCs w:val="20"/>
        </w:rPr>
        <w:t>ț</w:t>
      </w:r>
      <w:r w:rsidR="002E6686">
        <w:rPr>
          <w:rFonts w:ascii="Verdana" w:hAnsi="Verdana"/>
          <w:sz w:val="20"/>
          <w:szCs w:val="20"/>
          <w:lang w:val="ro-RO"/>
        </w:rPr>
        <w:t>inut</w:t>
      </w:r>
      <w:r w:rsidRPr="003A3842">
        <w:rPr>
          <w:rFonts w:ascii="Verdana" w:hAnsi="Verdana"/>
          <w:sz w:val="20"/>
          <w:szCs w:val="20"/>
          <w:lang w:val="ro-RO"/>
        </w:rPr>
        <w:t xml:space="preserve"> un record de producție pentru produsele albe (benzină, motorină și jet) de 4,88 milioane tone, </w:t>
      </w:r>
      <w:r w:rsidRPr="00B16A7B">
        <w:rPr>
          <w:rFonts w:ascii="Verdana" w:hAnsi="Verdana"/>
          <w:sz w:val="20"/>
          <w:szCs w:val="20"/>
          <w:lang w:val="ro-RO"/>
        </w:rPr>
        <w:t xml:space="preserve">în timp ce indicele intensității energetice s-a situat la nivelul de 99,9%, </w:t>
      </w:r>
      <w:r w:rsidR="00A6643D" w:rsidRPr="00B16A7B">
        <w:rPr>
          <w:rFonts w:ascii="Verdana" w:hAnsi="Verdana"/>
          <w:sz w:val="20"/>
          <w:szCs w:val="20"/>
          <w:lang w:val="ro-RO"/>
        </w:rPr>
        <w:t xml:space="preserve">indicele </w:t>
      </w:r>
      <w:r w:rsidRPr="00B16A7B">
        <w:rPr>
          <w:rFonts w:ascii="Verdana" w:hAnsi="Verdana"/>
          <w:sz w:val="20"/>
          <w:szCs w:val="20"/>
          <w:lang w:val="ro-RO"/>
        </w:rPr>
        <w:t>disponibilit</w:t>
      </w:r>
      <w:r w:rsidR="00A6643D" w:rsidRPr="00B16A7B">
        <w:rPr>
          <w:rFonts w:ascii="Verdana" w:hAnsi="Verdana"/>
          <w:sz w:val="20"/>
          <w:szCs w:val="20"/>
          <w:lang w:val="ro-RO"/>
        </w:rPr>
        <w:t>ății mecanice</w:t>
      </w:r>
      <w:r w:rsidRPr="00B16A7B">
        <w:rPr>
          <w:rFonts w:ascii="Verdana" w:hAnsi="Verdana"/>
          <w:sz w:val="20"/>
          <w:szCs w:val="20"/>
          <w:lang w:val="ro-RO"/>
        </w:rPr>
        <w:t xml:space="preserve"> </w:t>
      </w:r>
      <w:r w:rsidR="00247204" w:rsidRPr="00B16A7B">
        <w:rPr>
          <w:rFonts w:ascii="Verdana" w:hAnsi="Verdana"/>
          <w:sz w:val="20"/>
          <w:szCs w:val="20"/>
          <w:lang w:val="ro-RO"/>
        </w:rPr>
        <w:t xml:space="preserve">la un nivel de </w:t>
      </w:r>
      <w:r w:rsidRPr="00B16A7B">
        <w:rPr>
          <w:rFonts w:ascii="Verdana" w:hAnsi="Verdana"/>
          <w:sz w:val="20"/>
          <w:szCs w:val="20"/>
          <w:lang w:val="ro-RO"/>
        </w:rPr>
        <w:t xml:space="preserve">96,47%, </w:t>
      </w:r>
      <w:r w:rsidR="00A6643D" w:rsidRPr="00B16A7B">
        <w:rPr>
          <w:rFonts w:ascii="Verdana" w:hAnsi="Verdana"/>
          <w:sz w:val="20"/>
          <w:szCs w:val="20"/>
          <w:lang w:val="ro-RO"/>
        </w:rPr>
        <w:t xml:space="preserve">iar </w:t>
      </w:r>
      <w:r w:rsidRPr="00B16A7B">
        <w:rPr>
          <w:rFonts w:ascii="Verdana" w:hAnsi="Verdana"/>
          <w:sz w:val="20"/>
          <w:szCs w:val="20"/>
          <w:lang w:val="ro-RO"/>
        </w:rPr>
        <w:t>disponibilitate</w:t>
      </w:r>
      <w:r w:rsidR="00A6643D" w:rsidRPr="00B16A7B">
        <w:rPr>
          <w:rFonts w:ascii="Verdana" w:hAnsi="Verdana"/>
          <w:sz w:val="20"/>
          <w:szCs w:val="20"/>
          <w:lang w:val="ro-RO"/>
        </w:rPr>
        <w:t xml:space="preserve">a </w:t>
      </w:r>
      <w:r w:rsidR="00247204" w:rsidRPr="00B16A7B">
        <w:rPr>
          <w:rFonts w:ascii="Verdana" w:hAnsi="Verdana"/>
          <w:sz w:val="20"/>
          <w:szCs w:val="20"/>
          <w:lang w:val="ro-RO"/>
        </w:rPr>
        <w:t xml:space="preserve"> operațională</w:t>
      </w:r>
      <w:r w:rsidR="00A6643D" w:rsidRPr="00B16A7B">
        <w:rPr>
          <w:rFonts w:ascii="Verdana" w:hAnsi="Verdana"/>
          <w:sz w:val="20"/>
          <w:szCs w:val="20"/>
          <w:lang w:val="ro-RO"/>
        </w:rPr>
        <w:t xml:space="preserve"> la nivelul </w:t>
      </w:r>
      <w:r w:rsidR="00247204" w:rsidRPr="00B16A7B">
        <w:rPr>
          <w:rFonts w:ascii="Verdana" w:hAnsi="Verdana"/>
          <w:sz w:val="20"/>
          <w:szCs w:val="20"/>
          <w:lang w:val="ro-RO"/>
        </w:rPr>
        <w:t>de</w:t>
      </w:r>
      <w:r w:rsidRPr="00B16A7B">
        <w:rPr>
          <w:rFonts w:ascii="Verdana" w:hAnsi="Verdana"/>
          <w:sz w:val="20"/>
          <w:szCs w:val="20"/>
          <w:lang w:val="ro-RO"/>
        </w:rPr>
        <w:t xml:space="preserve"> 93,3%.  </w:t>
      </w:r>
    </w:p>
    <w:p w:rsidR="000018E9" w:rsidRPr="00615444" w:rsidRDefault="000018E9" w:rsidP="000018E9">
      <w:pPr>
        <w:spacing w:after="0" w:line="240" w:lineRule="auto"/>
        <w:jc w:val="both"/>
        <w:rPr>
          <w:rFonts w:ascii="Verdana" w:hAnsi="Verdana"/>
          <w:sz w:val="20"/>
          <w:szCs w:val="20"/>
          <w:lang w:val="ro-RO"/>
        </w:rPr>
      </w:pPr>
      <w:r w:rsidRPr="00615444">
        <w:rPr>
          <w:rFonts w:ascii="Verdana" w:hAnsi="Verdana"/>
          <w:sz w:val="20"/>
          <w:szCs w:val="20"/>
          <w:lang w:val="ro-RO"/>
        </w:rPr>
        <w:t>Anul trecut, gradul de utilizare a capacit</w:t>
      </w:r>
      <w:r w:rsidR="001C22AB">
        <w:rPr>
          <w:rFonts w:ascii="Verdana" w:hAnsi="Verdana"/>
          <w:sz w:val="20"/>
          <w:szCs w:val="20"/>
          <w:lang w:val="ro-RO"/>
        </w:rPr>
        <w:t>ății de prelucrare a rafină</w:t>
      </w:r>
      <w:r w:rsidRPr="00615444">
        <w:rPr>
          <w:rFonts w:ascii="Verdana" w:hAnsi="Verdana"/>
          <w:sz w:val="20"/>
          <w:szCs w:val="20"/>
          <w:lang w:val="ro-RO"/>
        </w:rPr>
        <w:t>riei Petromidia a fost de circa 86%, nivel apropiat celui din 2016.</w:t>
      </w:r>
    </w:p>
    <w:p w:rsidR="000018E9" w:rsidRPr="00D377F3" w:rsidRDefault="000018E9" w:rsidP="000018E9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E67D7F" w:rsidRDefault="002E6686" w:rsidP="00E67D7F">
      <w:pPr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C</w:t>
      </w:r>
      <w:r w:rsidRPr="003A3842">
        <w:rPr>
          <w:rFonts w:ascii="Verdana" w:hAnsi="Verdana" w:cs="Arial"/>
          <w:sz w:val="20"/>
          <w:szCs w:val="20"/>
        </w:rPr>
        <w:t>ea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mai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longevivă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unitate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procesare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din </w:t>
      </w:r>
      <w:proofErr w:type="spellStart"/>
      <w:r w:rsidRPr="003A3842">
        <w:rPr>
          <w:rFonts w:ascii="Verdana" w:hAnsi="Verdana" w:cs="Arial"/>
          <w:sz w:val="20"/>
          <w:szCs w:val="20"/>
        </w:rPr>
        <w:t>România</w:t>
      </w:r>
      <w:proofErr w:type="spellEnd"/>
      <w:r>
        <w:rPr>
          <w:rFonts w:ascii="Verdana" w:hAnsi="Verdana" w:cs="Arial"/>
          <w:sz w:val="20"/>
          <w:szCs w:val="20"/>
        </w:rPr>
        <w:t xml:space="preserve"> - </w:t>
      </w:r>
      <w:r w:rsidRPr="003A3842">
        <w:rPr>
          <w:rFonts w:ascii="Verdana" w:hAnsi="Verdana" w:cs="Arial"/>
          <w:sz w:val="20"/>
          <w:szCs w:val="20"/>
          <w:lang w:val="ro-RO"/>
        </w:rPr>
        <w:t xml:space="preserve">înființată în anul </w:t>
      </w:r>
      <w:r w:rsidRPr="003A3842">
        <w:rPr>
          <w:rFonts w:ascii="Verdana" w:hAnsi="Verdana" w:cs="Arial"/>
          <w:sz w:val="20"/>
          <w:szCs w:val="20"/>
        </w:rPr>
        <w:t>1905</w:t>
      </w:r>
      <w:r>
        <w:rPr>
          <w:rFonts w:ascii="Verdana" w:hAnsi="Verdana" w:cs="Arial"/>
          <w:sz w:val="20"/>
          <w:szCs w:val="20"/>
        </w:rPr>
        <w:t xml:space="preserve">, </w:t>
      </w:r>
      <w:proofErr w:type="spellStart"/>
      <w:r>
        <w:rPr>
          <w:rFonts w:ascii="Verdana" w:hAnsi="Verdana" w:cs="Arial"/>
          <w:sz w:val="20"/>
          <w:szCs w:val="20"/>
        </w:rPr>
        <w:t>r</w:t>
      </w:r>
      <w:r w:rsidR="00B4475D" w:rsidRPr="003A3842">
        <w:rPr>
          <w:rFonts w:ascii="Verdana" w:hAnsi="Verdana" w:cs="Arial"/>
          <w:sz w:val="20"/>
          <w:szCs w:val="20"/>
        </w:rPr>
        <w:t>afină</w:t>
      </w:r>
      <w:r w:rsidR="00DA1DBF" w:rsidRPr="003A3842">
        <w:rPr>
          <w:rFonts w:ascii="Verdana" w:hAnsi="Verdana" w:cs="Arial"/>
          <w:sz w:val="20"/>
          <w:szCs w:val="20"/>
        </w:rPr>
        <w:t>ria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Vega </w:t>
      </w:r>
      <w:r w:rsidR="00E67D7F" w:rsidRPr="003A3842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prelucrat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in 2017 </w:t>
      </w:r>
      <w:r w:rsidR="00E67D7F" w:rsidRPr="003A3842">
        <w:rPr>
          <w:rFonts w:ascii="Verdana" w:hAnsi="Verdana" w:cs="Arial"/>
          <w:sz w:val="20"/>
          <w:szCs w:val="20"/>
        </w:rPr>
        <w:t xml:space="preserve">o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cantitate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</w:t>
      </w:r>
      <w:r w:rsidR="00795394" w:rsidRPr="003A3842">
        <w:rPr>
          <w:rFonts w:ascii="Verdana" w:hAnsi="Verdana" w:cs="Arial"/>
          <w:sz w:val="20"/>
          <w:szCs w:val="20"/>
        </w:rPr>
        <w:t xml:space="preserve">record </w:t>
      </w:r>
      <w:r w:rsidR="00E67D7F" w:rsidRPr="003A3842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="00AC7641" w:rsidRPr="003A3842">
        <w:rPr>
          <w:rFonts w:ascii="Verdana" w:hAnsi="Verdana" w:cs="Arial"/>
          <w:sz w:val="20"/>
          <w:szCs w:val="20"/>
        </w:rPr>
        <w:t>materia</w:t>
      </w:r>
      <w:proofErr w:type="spellEnd"/>
      <w:r w:rsidR="00AC7641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C7641" w:rsidRPr="003A3842">
        <w:rPr>
          <w:rFonts w:ascii="Verdana" w:hAnsi="Verdana" w:cs="Arial"/>
          <w:sz w:val="20"/>
          <w:szCs w:val="20"/>
        </w:rPr>
        <w:t>primă</w:t>
      </w:r>
      <w:proofErr w:type="spellEnd"/>
      <w:r w:rsidR="00AC7641" w:rsidRPr="003A3842">
        <w:rPr>
          <w:rFonts w:ascii="Verdana" w:hAnsi="Verdana" w:cs="Arial"/>
          <w:sz w:val="20"/>
          <w:szCs w:val="20"/>
        </w:rPr>
        <w:t xml:space="preserve"> </w:t>
      </w:r>
      <w:r w:rsidR="00E67D7F" w:rsidRPr="003A3842">
        <w:rPr>
          <w:rFonts w:ascii="Verdana" w:hAnsi="Verdana" w:cs="Arial"/>
          <w:sz w:val="20"/>
          <w:szCs w:val="20"/>
        </w:rPr>
        <w:t>de 37</w:t>
      </w:r>
      <w:r w:rsidR="000018E9">
        <w:rPr>
          <w:rFonts w:ascii="Verdana" w:hAnsi="Verdana" w:cs="Arial"/>
          <w:sz w:val="20"/>
          <w:szCs w:val="20"/>
        </w:rPr>
        <w:t xml:space="preserve">3.000 </w:t>
      </w:r>
      <w:r w:rsidR="00E67D7F" w:rsidRPr="003A3842">
        <w:rPr>
          <w:rFonts w:ascii="Verdana" w:hAnsi="Verdana" w:cs="Arial"/>
          <w:sz w:val="20"/>
          <w:szCs w:val="20"/>
        </w:rPr>
        <w:t xml:space="preserve">tone,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creștere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cu 5,</w:t>
      </w:r>
      <w:r w:rsidR="000018E9">
        <w:rPr>
          <w:rFonts w:ascii="Verdana" w:hAnsi="Verdana" w:cs="Arial"/>
          <w:sz w:val="20"/>
          <w:szCs w:val="20"/>
        </w:rPr>
        <w:t>3</w:t>
      </w:r>
      <w:r w:rsidR="00E67D7F" w:rsidRPr="003A3842">
        <w:rPr>
          <w:rFonts w:ascii="Verdana" w:hAnsi="Verdana" w:cs="Arial"/>
          <w:sz w:val="20"/>
          <w:szCs w:val="20"/>
        </w:rPr>
        <w:t xml:space="preserve">%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față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de</w:t>
      </w:r>
      <w:r w:rsidR="000018E9">
        <w:rPr>
          <w:rFonts w:ascii="Verdana" w:hAnsi="Verdana" w:cs="Arial"/>
          <w:sz w:val="20"/>
          <w:szCs w:val="20"/>
        </w:rPr>
        <w:t xml:space="preserve"> 2016. </w:t>
      </w:r>
      <w:proofErr w:type="spellStart"/>
      <w:r w:rsidR="000018E9">
        <w:rPr>
          <w:rFonts w:ascii="Verdana" w:hAnsi="Verdana" w:cs="Arial"/>
          <w:sz w:val="20"/>
          <w:szCs w:val="20"/>
        </w:rPr>
        <w:t>Unitatea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din </w:t>
      </w:r>
      <w:proofErr w:type="spellStart"/>
      <w:r w:rsidR="000018E9">
        <w:rPr>
          <w:rFonts w:ascii="Verdana" w:hAnsi="Verdana" w:cs="Arial"/>
          <w:sz w:val="20"/>
          <w:szCs w:val="20"/>
        </w:rPr>
        <w:t>Ploiești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este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 w:rsidRPr="003A3842">
        <w:rPr>
          <w:rFonts w:ascii="Verdana" w:hAnsi="Verdana" w:cs="Arial"/>
          <w:sz w:val="20"/>
          <w:szCs w:val="20"/>
        </w:rPr>
        <w:t>singurul</w:t>
      </w:r>
      <w:proofErr w:type="spellEnd"/>
      <w:r w:rsidR="000018E9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 w:rsidRPr="003A3842">
        <w:rPr>
          <w:rFonts w:ascii="Verdana" w:hAnsi="Verdana" w:cs="Arial"/>
          <w:sz w:val="20"/>
          <w:szCs w:val="20"/>
        </w:rPr>
        <w:t>producător</w:t>
      </w:r>
      <w:proofErr w:type="spellEnd"/>
      <w:r w:rsidR="000018E9" w:rsidRPr="003A3842">
        <w:rPr>
          <w:rFonts w:ascii="Verdana" w:hAnsi="Verdana" w:cs="Arial"/>
          <w:sz w:val="20"/>
          <w:szCs w:val="20"/>
        </w:rPr>
        <w:t xml:space="preserve"> intern de </w:t>
      </w:r>
      <w:proofErr w:type="spellStart"/>
      <w:r w:rsidR="000018E9" w:rsidRPr="003A3842">
        <w:rPr>
          <w:rFonts w:ascii="Verdana" w:hAnsi="Verdana" w:cs="Arial"/>
          <w:sz w:val="20"/>
          <w:szCs w:val="20"/>
        </w:rPr>
        <w:t>bitum</w:t>
      </w:r>
      <w:proofErr w:type="spellEnd"/>
      <w:r w:rsidR="000018E9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 w:rsidRPr="003A3842">
        <w:rPr>
          <w:rFonts w:ascii="Verdana" w:hAnsi="Verdana" w:cs="Arial"/>
          <w:sz w:val="20"/>
          <w:szCs w:val="20"/>
        </w:rPr>
        <w:t>și</w:t>
      </w:r>
      <w:proofErr w:type="spellEnd"/>
      <w:r w:rsidR="000018E9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 w:rsidRPr="003A3842">
        <w:rPr>
          <w:rFonts w:ascii="Verdana" w:hAnsi="Verdana" w:cs="Arial"/>
          <w:sz w:val="20"/>
          <w:szCs w:val="20"/>
        </w:rPr>
        <w:t>hexan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0018E9">
        <w:rPr>
          <w:rFonts w:ascii="Verdana" w:hAnsi="Verdana" w:cs="Arial"/>
          <w:sz w:val="20"/>
          <w:szCs w:val="20"/>
        </w:rPr>
        <w:t>iar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anul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trecut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0018E9">
        <w:rPr>
          <w:rFonts w:ascii="Verdana" w:hAnsi="Verdana" w:cs="Arial"/>
          <w:sz w:val="20"/>
          <w:szCs w:val="20"/>
        </w:rPr>
        <w:t>consemnat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un record </w:t>
      </w:r>
      <w:proofErr w:type="spellStart"/>
      <w:r w:rsidR="000018E9">
        <w:rPr>
          <w:rFonts w:ascii="Verdana" w:hAnsi="Verdana" w:cs="Arial"/>
          <w:sz w:val="20"/>
          <w:szCs w:val="20"/>
        </w:rPr>
        <w:t>istoric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privind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cantitatea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0018E9">
        <w:rPr>
          <w:rFonts w:ascii="Verdana" w:hAnsi="Verdana" w:cs="Arial"/>
          <w:sz w:val="20"/>
          <w:szCs w:val="20"/>
        </w:rPr>
        <w:t>bitum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realizată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(96.000 tone).  </w:t>
      </w:r>
    </w:p>
    <w:p w:rsidR="00E33962" w:rsidRPr="003A3842" w:rsidRDefault="001C22AB" w:rsidP="00CA7A45">
      <w:pPr>
        <w:jc w:val="both"/>
        <w:rPr>
          <w:rFonts w:ascii="Verdana" w:hAnsi="Verdana"/>
          <w:sz w:val="20"/>
          <w:szCs w:val="20"/>
          <w:lang w:val="ro-RO"/>
        </w:rPr>
      </w:pPr>
      <w:proofErr w:type="spellStart"/>
      <w:r>
        <w:rPr>
          <w:rFonts w:ascii="Verdana" w:hAnsi="Verdana" w:cs="Arial"/>
          <w:sz w:val="20"/>
          <w:szCs w:val="20"/>
        </w:rPr>
        <w:t>Î</w:t>
      </w:r>
      <w:r w:rsidR="000018E9">
        <w:rPr>
          <w:rFonts w:ascii="Verdana" w:hAnsi="Verdana" w:cs="Arial"/>
          <w:sz w:val="20"/>
          <w:szCs w:val="20"/>
        </w:rPr>
        <w:t>n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acelasi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timp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0018E9">
        <w:rPr>
          <w:rFonts w:ascii="Verdana" w:hAnsi="Verdana" w:cs="Arial"/>
          <w:sz w:val="20"/>
          <w:szCs w:val="20"/>
        </w:rPr>
        <w:t>g</w:t>
      </w:r>
      <w:r w:rsidR="00E67D7F" w:rsidRPr="003A3842">
        <w:rPr>
          <w:rFonts w:ascii="Verdana" w:hAnsi="Verdana" w:cs="Arial"/>
          <w:sz w:val="20"/>
          <w:szCs w:val="20"/>
        </w:rPr>
        <w:t>radul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utilizare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capacităț</w:t>
      </w:r>
      <w:r w:rsidR="00DA1DBF" w:rsidRPr="003A3842">
        <w:rPr>
          <w:rFonts w:ascii="Verdana" w:hAnsi="Verdana" w:cs="Arial"/>
          <w:sz w:val="20"/>
          <w:szCs w:val="20"/>
        </w:rPr>
        <w:t>ii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DA1DBF" w:rsidRPr="003A3842">
        <w:rPr>
          <w:rFonts w:ascii="Verdana" w:hAnsi="Verdana" w:cs="Arial"/>
          <w:sz w:val="20"/>
          <w:szCs w:val="20"/>
        </w:rPr>
        <w:t>rafinare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platformei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Vega</w:t>
      </w:r>
      <w:r w:rsidR="00DA1DBF"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DA1DBF" w:rsidRPr="003A3842">
        <w:rPr>
          <w:rFonts w:ascii="Verdana" w:hAnsi="Verdana" w:cs="Arial"/>
          <w:sz w:val="20"/>
          <w:szCs w:val="20"/>
        </w:rPr>
        <w:t>fost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de </w:t>
      </w:r>
      <w:r w:rsidR="000018E9">
        <w:rPr>
          <w:rFonts w:ascii="Verdana" w:hAnsi="Verdana" w:cs="Arial"/>
          <w:sz w:val="20"/>
          <w:szCs w:val="20"/>
        </w:rPr>
        <w:t>113%</w:t>
      </w:r>
      <w:r w:rsidR="00E67D7F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E67D7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creș</w:t>
      </w:r>
      <w:r w:rsidR="00DA1DBF" w:rsidRPr="003A3842">
        <w:rPr>
          <w:rFonts w:ascii="Verdana" w:hAnsi="Verdana" w:cs="Arial"/>
          <w:sz w:val="20"/>
          <w:szCs w:val="20"/>
        </w:rPr>
        <w:t>tere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cu 5</w:t>
      </w:r>
      <w:r w:rsidR="00E67D7F" w:rsidRPr="003A3842">
        <w:rPr>
          <w:rFonts w:ascii="Verdana" w:hAnsi="Verdana" w:cs="Arial"/>
          <w:sz w:val="20"/>
          <w:szCs w:val="20"/>
        </w:rPr>
        <w:t xml:space="preserve">,65% </w:t>
      </w:r>
      <w:proofErr w:type="spellStart"/>
      <w:r w:rsidR="00E67D7F" w:rsidRPr="003A3842">
        <w:rPr>
          <w:rFonts w:ascii="Verdana" w:hAnsi="Verdana" w:cs="Arial"/>
          <w:sz w:val="20"/>
          <w:szCs w:val="20"/>
        </w:rPr>
        <w:t>față</w:t>
      </w:r>
      <w:proofErr w:type="spellEnd"/>
      <w:r w:rsidR="00DA1DBF" w:rsidRPr="003A3842">
        <w:rPr>
          <w:rFonts w:ascii="Verdana" w:hAnsi="Verdana" w:cs="Arial"/>
          <w:sz w:val="20"/>
          <w:szCs w:val="20"/>
        </w:rPr>
        <w:t xml:space="preserve"> de </w:t>
      </w:r>
      <w:r w:rsidR="000018E9">
        <w:rPr>
          <w:rFonts w:ascii="Verdana" w:hAnsi="Verdana" w:cs="Arial"/>
          <w:sz w:val="20"/>
          <w:szCs w:val="20"/>
        </w:rPr>
        <w:t>2016</w:t>
      </w:r>
      <w:r w:rsidR="00E67D7F" w:rsidRPr="003A3842">
        <w:rPr>
          <w:rFonts w:ascii="Verdana" w:hAnsi="Verdana" w:cs="Arial"/>
          <w:sz w:val="20"/>
          <w:szCs w:val="20"/>
        </w:rPr>
        <w:t xml:space="preserve">. </w:t>
      </w:r>
    </w:p>
    <w:p w:rsidR="00D579FE" w:rsidRPr="003A3842" w:rsidRDefault="00D579FE" w:rsidP="00D579F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3A3842">
        <w:rPr>
          <w:rFonts w:ascii="Verdana" w:hAnsi="Verdana"/>
          <w:b/>
          <w:sz w:val="20"/>
          <w:szCs w:val="20"/>
        </w:rPr>
        <w:t>Segmentul</w:t>
      </w:r>
      <w:proofErr w:type="spellEnd"/>
      <w:r w:rsidRPr="003A3842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/>
          <w:b/>
          <w:sz w:val="20"/>
          <w:szCs w:val="20"/>
        </w:rPr>
        <w:t>petrochimie</w:t>
      </w:r>
      <w:proofErr w:type="spellEnd"/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5"/>
        <w:gridCol w:w="851"/>
        <w:gridCol w:w="1693"/>
        <w:gridCol w:w="2134"/>
        <w:gridCol w:w="1730"/>
      </w:tblGrid>
      <w:tr w:rsidR="003A3842" w:rsidRPr="003A3842" w:rsidTr="003A3842">
        <w:trPr>
          <w:trHeight w:val="23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AD7394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>inanciar</w:t>
            </w:r>
            <w:proofErr w:type="spellEnd"/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DE6B30" w:rsidP="00DE6B30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  <w:r w:rsidR="00471700" w:rsidRPr="003A3842">
              <w:rPr>
                <w:rFonts w:ascii="Verdana" w:hAnsi="Verdana"/>
                <w:b/>
                <w:sz w:val="20"/>
                <w:szCs w:val="20"/>
              </w:rPr>
              <w:t>2017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471700" w:rsidP="00BA661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>2016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BA661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3A3842" w:rsidRPr="003A3842" w:rsidTr="003A3842">
        <w:trPr>
          <w:trHeight w:val="7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00" w:rsidRPr="003A3842" w:rsidRDefault="00471700" w:rsidP="00471700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Cifra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afaceri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brută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00" w:rsidRPr="003A3842" w:rsidRDefault="00471700" w:rsidP="0047170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191.326.498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180.271.804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6%</w:t>
            </w:r>
          </w:p>
        </w:tc>
      </w:tr>
      <w:tr w:rsidR="003A3842" w:rsidRPr="003A3842" w:rsidTr="003A3842">
        <w:trPr>
          <w:trHeight w:val="24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00" w:rsidRPr="003A3842" w:rsidRDefault="00471700" w:rsidP="00471700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EBITDA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00" w:rsidRPr="003A3842" w:rsidRDefault="00471700" w:rsidP="0047170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(5.304.452)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6.320.969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N/A</w:t>
            </w:r>
          </w:p>
        </w:tc>
      </w:tr>
      <w:tr w:rsidR="003A3842" w:rsidRPr="003A3842" w:rsidTr="003A3842">
        <w:trPr>
          <w:trHeight w:val="24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00" w:rsidRPr="003A3842" w:rsidRDefault="00471700" w:rsidP="00471700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Rezultatul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net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00" w:rsidRPr="003A3842" w:rsidRDefault="00471700" w:rsidP="0047170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(12.977.684)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(11.264.121)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700" w:rsidRPr="003A3842" w:rsidRDefault="00471700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15%</w:t>
            </w:r>
          </w:p>
        </w:tc>
      </w:tr>
      <w:tr w:rsidR="003A3842" w:rsidRPr="003A3842" w:rsidTr="003A3842">
        <w:trPr>
          <w:trHeight w:val="7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AD7394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</w:t>
            </w:r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>peraţional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1C22AB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1C22AB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1C22AB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A3842" w:rsidRPr="003A3842" w:rsidTr="003A3842">
        <w:trPr>
          <w:trHeight w:val="24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4D" w:rsidRPr="003A3842" w:rsidRDefault="007B734D" w:rsidP="007B734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Propilen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  <w:lang w:val="ro-RO"/>
              </w:rPr>
              <w:t>ă procesată</w:t>
            </w:r>
            <w:r w:rsidRPr="003A3842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4D" w:rsidRPr="003A3842" w:rsidRDefault="007B734D" w:rsidP="007B734D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9%</w:t>
            </w:r>
          </w:p>
        </w:tc>
      </w:tr>
      <w:tr w:rsidR="003A3842" w:rsidRPr="003A3842" w:rsidTr="003A3842">
        <w:trPr>
          <w:trHeight w:val="24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4D" w:rsidRPr="003A3842" w:rsidRDefault="007B734D" w:rsidP="007B734D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Etilenă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procesată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4D" w:rsidRPr="003A3842" w:rsidRDefault="007B734D" w:rsidP="007B734D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-2%</w:t>
            </w:r>
          </w:p>
        </w:tc>
      </w:tr>
      <w:tr w:rsidR="003A3842" w:rsidRPr="003A3842" w:rsidTr="003A3842">
        <w:trPr>
          <w:trHeight w:val="17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34D" w:rsidRPr="003A3842" w:rsidRDefault="007B734D" w:rsidP="007B734D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 xml:space="preserve">Total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vânzări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34D" w:rsidRPr="003A3842" w:rsidRDefault="007B734D" w:rsidP="007B734D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191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190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34D" w:rsidRPr="003A3842" w:rsidRDefault="007B734D" w:rsidP="001C22AB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1%</w:t>
            </w:r>
          </w:p>
        </w:tc>
      </w:tr>
    </w:tbl>
    <w:p w:rsidR="00CC33B8" w:rsidRPr="003A3842" w:rsidRDefault="00CC33B8" w:rsidP="00205C83">
      <w:pPr>
        <w:tabs>
          <w:tab w:val="left" w:pos="3900"/>
        </w:tabs>
        <w:jc w:val="both"/>
        <w:rPr>
          <w:rFonts w:ascii="Verdana" w:hAnsi="Verdana" w:cs="Arial"/>
          <w:i/>
          <w:sz w:val="18"/>
          <w:szCs w:val="18"/>
        </w:rPr>
      </w:pPr>
      <w:proofErr w:type="spellStart"/>
      <w:r w:rsidRPr="003A3842">
        <w:rPr>
          <w:rFonts w:ascii="Verdana" w:hAnsi="Verdana" w:cs="Arial"/>
          <w:i/>
          <w:sz w:val="18"/>
          <w:szCs w:val="18"/>
        </w:rPr>
        <w:t>Not</w:t>
      </w:r>
      <w:r w:rsidR="003A3842">
        <w:rPr>
          <w:rFonts w:ascii="Verdana" w:hAnsi="Verdana" w:cs="Arial"/>
          <w:i/>
          <w:sz w:val="18"/>
          <w:szCs w:val="18"/>
        </w:rPr>
        <w:t>ă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: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segmentul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de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petrochimie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include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activitatea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de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petrochimie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din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Rompetrol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Rafinare SA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si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Pr="003A3842">
        <w:rPr>
          <w:rFonts w:ascii="Verdana" w:hAnsi="Verdana" w:cs="Arial"/>
          <w:i/>
          <w:sz w:val="18"/>
          <w:szCs w:val="18"/>
        </w:rPr>
        <w:t>activitatea</w:t>
      </w:r>
      <w:proofErr w:type="spellEnd"/>
      <w:r w:rsidRPr="003A3842">
        <w:rPr>
          <w:rFonts w:ascii="Verdana" w:hAnsi="Verdana" w:cs="Arial"/>
          <w:i/>
          <w:sz w:val="18"/>
          <w:szCs w:val="18"/>
        </w:rPr>
        <w:t xml:space="preserve"> Rompetrol Petrochemicals SRL</w:t>
      </w:r>
    </w:p>
    <w:p w:rsidR="002D1786" w:rsidRPr="003A3842" w:rsidRDefault="0075262F" w:rsidP="002D1786">
      <w:pPr>
        <w:tabs>
          <w:tab w:val="left" w:pos="3900"/>
        </w:tabs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Pe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petrochimie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7509C3" w:rsidRPr="003A3842">
        <w:rPr>
          <w:rFonts w:ascii="Verdana" w:hAnsi="Verdana" w:cs="Arial"/>
          <w:sz w:val="20"/>
          <w:szCs w:val="20"/>
        </w:rPr>
        <w:t>unitatea</w:t>
      </w:r>
      <w:proofErr w:type="spellEnd"/>
      <w:r w:rsidR="007509C3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7509C3" w:rsidRPr="003A3842">
        <w:rPr>
          <w:rFonts w:ascii="Verdana" w:hAnsi="Verdana" w:cs="Arial"/>
          <w:sz w:val="20"/>
          <w:szCs w:val="20"/>
        </w:rPr>
        <w:t>producție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r w:rsidR="002D1786" w:rsidRPr="003A3842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procesat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cantitate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propilenă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de 134</w:t>
      </w:r>
      <w:r w:rsidR="000018E9">
        <w:rPr>
          <w:rFonts w:ascii="Verdana" w:hAnsi="Verdana" w:cs="Arial"/>
          <w:sz w:val="20"/>
          <w:szCs w:val="20"/>
        </w:rPr>
        <w:t>.000 tone</w:t>
      </w:r>
      <w:r w:rsidR="002D1786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2017,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mai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mare cu 9%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comparativ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cu </w:t>
      </w:r>
      <w:proofErr w:type="spellStart"/>
      <w:r w:rsidR="001C22AB">
        <w:rPr>
          <w:rFonts w:ascii="Verdana" w:hAnsi="Verdana" w:cs="Arial"/>
          <w:sz w:val="20"/>
          <w:szCs w:val="20"/>
        </w:rPr>
        <w:t>anul</w:t>
      </w:r>
      <w:proofErr w:type="spellEnd"/>
      <w:r w:rsidR="001C22AB">
        <w:rPr>
          <w:rFonts w:ascii="Verdana" w:hAnsi="Verdana" w:cs="Arial"/>
          <w:sz w:val="20"/>
          <w:szCs w:val="20"/>
        </w:rPr>
        <w:t xml:space="preserve"> precedent</w:t>
      </w:r>
      <w:r w:rsidR="002D1786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iar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volumul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total al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materiei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prime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procesate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s-a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ridicat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la </w:t>
      </w:r>
      <w:r w:rsidR="000018E9">
        <w:rPr>
          <w:rFonts w:ascii="Verdana" w:hAnsi="Verdana" w:cs="Arial"/>
          <w:sz w:val="20"/>
          <w:szCs w:val="20"/>
        </w:rPr>
        <w:t>198.500 tone</w:t>
      </w:r>
      <w:r w:rsidR="00802062" w:rsidRPr="003A3842">
        <w:rPr>
          <w:rFonts w:ascii="Verdana" w:hAnsi="Verdana" w:cs="Arial"/>
          <w:sz w:val="20"/>
          <w:szCs w:val="20"/>
        </w:rPr>
        <w:t>.</w:t>
      </w:r>
      <w:r w:rsidR="00DA681B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asemenea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divizia</w:t>
      </w:r>
      <w:proofErr w:type="spellEnd"/>
      <w:r w:rsidR="00802062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802062" w:rsidRPr="003A3842">
        <w:rPr>
          <w:rFonts w:ascii="Verdana" w:hAnsi="Verdana" w:cs="Arial"/>
          <w:sz w:val="20"/>
          <w:szCs w:val="20"/>
        </w:rPr>
        <w:t>petrochimie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802062" w:rsidRPr="003A3842">
        <w:rPr>
          <w:rFonts w:ascii="Verdana" w:hAnsi="Verdana" w:cs="Arial"/>
          <w:sz w:val="20"/>
          <w:szCs w:val="20"/>
        </w:rPr>
        <w:t>produs</w:t>
      </w:r>
      <w:proofErr w:type="spellEnd"/>
      <w:r w:rsidR="00802062" w:rsidRPr="003A384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802062" w:rsidRPr="003A3842">
        <w:rPr>
          <w:rFonts w:ascii="Verdana" w:hAnsi="Verdana" w:cs="Arial"/>
          <w:sz w:val="20"/>
          <w:szCs w:val="20"/>
        </w:rPr>
        <w:t>can</w:t>
      </w:r>
      <w:r w:rsidR="00964889" w:rsidRPr="003A3842">
        <w:rPr>
          <w:rFonts w:ascii="Verdana" w:hAnsi="Verdana" w:cs="Arial"/>
          <w:sz w:val="20"/>
          <w:szCs w:val="20"/>
        </w:rPr>
        <w:t>ti</w:t>
      </w:r>
      <w:r w:rsidR="00802062" w:rsidRPr="003A3842">
        <w:rPr>
          <w:rFonts w:ascii="Verdana" w:hAnsi="Verdana" w:cs="Arial"/>
          <w:sz w:val="20"/>
          <w:szCs w:val="20"/>
        </w:rPr>
        <w:t>tate</w:t>
      </w:r>
      <w:proofErr w:type="spellEnd"/>
      <w:r w:rsidR="00802062" w:rsidRPr="003A3842">
        <w:rPr>
          <w:rFonts w:ascii="Verdana" w:hAnsi="Verdana" w:cs="Arial"/>
          <w:sz w:val="20"/>
          <w:szCs w:val="20"/>
        </w:rPr>
        <w:t xml:space="preserve"> record de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propilenă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polimerizabilă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</w:t>
      </w:r>
      <w:r w:rsidR="000018E9">
        <w:rPr>
          <w:rFonts w:ascii="Verdana" w:hAnsi="Verdana" w:cs="Arial"/>
          <w:sz w:val="20"/>
          <w:szCs w:val="20"/>
        </w:rPr>
        <w:t>–</w:t>
      </w:r>
      <w:r w:rsidR="00DA681B" w:rsidRPr="003A3842">
        <w:rPr>
          <w:rFonts w:ascii="Verdana" w:hAnsi="Verdana" w:cs="Arial"/>
          <w:sz w:val="20"/>
          <w:szCs w:val="20"/>
        </w:rPr>
        <w:t xml:space="preserve"> 20</w:t>
      </w:r>
      <w:r w:rsidR="000018E9">
        <w:rPr>
          <w:rFonts w:ascii="Verdana" w:hAnsi="Verdana" w:cs="Arial"/>
          <w:sz w:val="20"/>
          <w:szCs w:val="20"/>
        </w:rPr>
        <w:t>.000 tone</w:t>
      </w:r>
      <w:r w:rsidR="00DA681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și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înregistrat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cel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mai</w:t>
      </w:r>
      <w:proofErr w:type="spellEnd"/>
      <w:r w:rsidR="00DA681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scă</w:t>
      </w:r>
      <w:r w:rsidR="002D1786" w:rsidRPr="003A3842">
        <w:rPr>
          <w:rFonts w:ascii="Verdana" w:hAnsi="Verdana" w:cs="Arial"/>
          <w:sz w:val="20"/>
          <w:szCs w:val="20"/>
        </w:rPr>
        <w:t>zut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D1786" w:rsidRPr="003A3842">
        <w:rPr>
          <w:rFonts w:ascii="Verdana" w:hAnsi="Verdana" w:cs="Arial"/>
          <w:sz w:val="20"/>
          <w:szCs w:val="20"/>
        </w:rPr>
        <w:t>indice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 xml:space="preserve"> energetic </w:t>
      </w:r>
      <w:r w:rsidR="00DA681B" w:rsidRPr="003A3842">
        <w:rPr>
          <w:rFonts w:ascii="Verdana" w:hAnsi="Verdana" w:cs="Arial"/>
          <w:sz w:val="20"/>
          <w:szCs w:val="20"/>
        </w:rPr>
        <w:t xml:space="preserve">din 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lastRenderedPageBreak/>
        <w:t>istorie</w:t>
      </w:r>
      <w:proofErr w:type="spellEnd"/>
      <w:r w:rsidR="008A56C1" w:rsidRPr="003A3842">
        <w:rPr>
          <w:rFonts w:ascii="Verdana" w:hAnsi="Verdana" w:cs="Arial"/>
          <w:sz w:val="20"/>
          <w:szCs w:val="20"/>
        </w:rPr>
        <w:t xml:space="preserve"> -</w:t>
      </w:r>
      <w:r w:rsidR="00DA681B" w:rsidRPr="003A3842">
        <w:rPr>
          <w:rFonts w:ascii="Verdana" w:hAnsi="Verdana" w:cs="Arial"/>
          <w:sz w:val="20"/>
          <w:szCs w:val="20"/>
        </w:rPr>
        <w:t xml:space="preserve"> 18,7 GJ/</w:t>
      </w:r>
      <w:proofErr w:type="spellStart"/>
      <w:r w:rsidR="00DA681B" w:rsidRPr="003A3842">
        <w:rPr>
          <w:rFonts w:ascii="Verdana" w:hAnsi="Verdana" w:cs="Arial"/>
          <w:sz w:val="20"/>
          <w:szCs w:val="20"/>
        </w:rPr>
        <w:t>tonă</w:t>
      </w:r>
      <w:proofErr w:type="spellEnd"/>
      <w:r w:rsidR="002D1786" w:rsidRPr="003A3842">
        <w:rPr>
          <w:rFonts w:ascii="Verdana" w:hAnsi="Verdana" w:cs="Arial"/>
          <w:sz w:val="20"/>
          <w:szCs w:val="20"/>
        </w:rPr>
        <w:t>.</w:t>
      </w:r>
      <w:r w:rsidR="003A0FB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Rezultatele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financiare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au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fost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puternic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influentate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conditiile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piata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defavorabile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 xml:space="preserve">, </w:t>
      </w:r>
      <w:r w:rsidR="000018E9">
        <w:rPr>
          <w:rFonts w:ascii="Verdana" w:hAnsi="Verdana" w:cs="Arial"/>
          <w:sz w:val="20"/>
          <w:szCs w:val="20"/>
        </w:rPr>
        <w:t xml:space="preserve">cu </w:t>
      </w:r>
      <w:proofErr w:type="spellStart"/>
      <w:r w:rsidR="000018E9">
        <w:rPr>
          <w:rFonts w:ascii="Verdana" w:hAnsi="Verdana" w:cs="Arial"/>
          <w:sz w:val="20"/>
          <w:szCs w:val="20"/>
        </w:rPr>
        <w:t>marje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0018E9">
        <w:rPr>
          <w:rFonts w:ascii="Verdana" w:hAnsi="Verdana" w:cs="Arial"/>
          <w:sz w:val="20"/>
          <w:szCs w:val="20"/>
        </w:rPr>
        <w:t>petrochimie</w:t>
      </w:r>
      <w:proofErr w:type="spellEnd"/>
      <w:r w:rsidR="000018E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018E9">
        <w:rPr>
          <w:rFonts w:ascii="Verdana" w:hAnsi="Verdana" w:cs="Arial"/>
          <w:sz w:val="20"/>
          <w:szCs w:val="20"/>
        </w:rPr>
        <w:t>scă</w:t>
      </w:r>
      <w:r w:rsidR="003A0FB4" w:rsidRPr="003A3842">
        <w:rPr>
          <w:rFonts w:ascii="Verdana" w:hAnsi="Verdana" w:cs="Arial"/>
          <w:sz w:val="20"/>
          <w:szCs w:val="20"/>
        </w:rPr>
        <w:t>zute</w:t>
      </w:r>
      <w:proofErr w:type="spellEnd"/>
      <w:r w:rsidR="003A0FB4" w:rsidRPr="003A3842">
        <w:rPr>
          <w:rFonts w:ascii="Verdana" w:hAnsi="Verdana" w:cs="Arial"/>
          <w:sz w:val="20"/>
          <w:szCs w:val="20"/>
        </w:rPr>
        <w:t>.</w:t>
      </w:r>
    </w:p>
    <w:p w:rsidR="000F6C8F" w:rsidRPr="003A3842" w:rsidRDefault="00802062" w:rsidP="000F6C8F">
      <w:pPr>
        <w:tabs>
          <w:tab w:val="left" w:pos="3900"/>
        </w:tabs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Rompetrol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Rafinare</w:t>
      </w:r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este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F1CA7">
        <w:rPr>
          <w:rFonts w:ascii="Verdana" w:hAnsi="Verdana" w:cs="Arial"/>
          <w:sz w:val="20"/>
          <w:szCs w:val="20"/>
        </w:rPr>
        <w:t>și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unicul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prod</w:t>
      </w:r>
      <w:r w:rsidR="00FB5ECF" w:rsidRPr="003A3842">
        <w:rPr>
          <w:rFonts w:ascii="Verdana" w:hAnsi="Verdana" w:cs="Arial"/>
          <w:sz w:val="20"/>
          <w:szCs w:val="20"/>
        </w:rPr>
        <w:t>ucător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polipropilenă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din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România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reuș</w:t>
      </w:r>
      <w:r w:rsidR="003234C4" w:rsidRPr="003A3842">
        <w:rPr>
          <w:rFonts w:ascii="Verdana" w:hAnsi="Verdana" w:cs="Arial"/>
          <w:sz w:val="20"/>
          <w:szCs w:val="20"/>
        </w:rPr>
        <w:t>ind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să-și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A0FB4" w:rsidRPr="003A3842">
        <w:rPr>
          <w:rFonts w:ascii="Verdana" w:hAnsi="Verdana" w:cs="Arial"/>
          <w:sz w:val="20"/>
          <w:szCs w:val="20"/>
        </w:rPr>
        <w:t>men</w:t>
      </w:r>
      <w:r w:rsidR="001C22AB">
        <w:rPr>
          <w:rFonts w:ascii="Verdana" w:hAnsi="Verdana" w:cs="Arial"/>
          <w:sz w:val="20"/>
          <w:szCs w:val="20"/>
        </w:rPr>
        <w:t>ț</w:t>
      </w:r>
      <w:r w:rsidR="003A0FB4" w:rsidRPr="003A3842">
        <w:rPr>
          <w:rFonts w:ascii="Verdana" w:hAnsi="Verdana" w:cs="Arial"/>
          <w:sz w:val="20"/>
          <w:szCs w:val="20"/>
        </w:rPr>
        <w:t>in</w:t>
      </w:r>
      <w:r w:rsidR="001C22AB">
        <w:rPr>
          <w:rFonts w:ascii="Verdana" w:hAnsi="Verdana" w:cs="Arial"/>
          <w:sz w:val="20"/>
          <w:szCs w:val="20"/>
        </w:rPr>
        <w:t>ă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cota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piață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34C4" w:rsidRPr="003A3842">
        <w:rPr>
          <w:rFonts w:ascii="Verdana" w:hAnsi="Verdana" w:cs="Arial"/>
          <w:sz w:val="20"/>
          <w:szCs w:val="20"/>
        </w:rPr>
        <w:t>inclusiv</w:t>
      </w:r>
      <w:proofErr w:type="spellEnd"/>
      <w:r w:rsidR="003234C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F6C8F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0F6C8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F6C8F" w:rsidRPr="003A3842">
        <w:rPr>
          <w:rFonts w:ascii="Verdana" w:hAnsi="Verdana" w:cs="Arial"/>
          <w:sz w:val="20"/>
          <w:szCs w:val="20"/>
        </w:rPr>
        <w:t>categor</w:t>
      </w:r>
      <w:r w:rsidR="00FB5ECF" w:rsidRPr="003A3842">
        <w:rPr>
          <w:rFonts w:ascii="Verdana" w:hAnsi="Verdana" w:cs="Arial"/>
          <w:sz w:val="20"/>
          <w:szCs w:val="20"/>
        </w:rPr>
        <w:t>i</w:t>
      </w:r>
      <w:r w:rsidR="000F6C8F" w:rsidRPr="003A3842">
        <w:rPr>
          <w:rFonts w:ascii="Verdana" w:hAnsi="Verdana" w:cs="Arial"/>
          <w:sz w:val="20"/>
          <w:szCs w:val="20"/>
        </w:rPr>
        <w:t>ile</w:t>
      </w:r>
      <w:proofErr w:type="spellEnd"/>
      <w:r w:rsidR="000F6C8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F6C8F" w:rsidRPr="003A3842">
        <w:rPr>
          <w:rFonts w:ascii="Verdana" w:hAnsi="Verdana" w:cs="Arial"/>
          <w:sz w:val="20"/>
          <w:szCs w:val="20"/>
        </w:rPr>
        <w:t>secundare</w:t>
      </w:r>
      <w:proofErr w:type="spellEnd"/>
      <w:r w:rsidR="000F6C8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0F6C8F" w:rsidRPr="003A3842">
        <w:rPr>
          <w:rFonts w:ascii="Verdana" w:hAnsi="Verdana" w:cs="Arial"/>
          <w:sz w:val="20"/>
          <w:szCs w:val="20"/>
        </w:rPr>
        <w:t>produse</w:t>
      </w:r>
      <w:proofErr w:type="spellEnd"/>
      <w:r w:rsidR="000F6C8F" w:rsidRPr="003A384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0F6C8F" w:rsidRPr="003A3842">
        <w:rPr>
          <w:rFonts w:ascii="Verdana" w:hAnsi="Verdana" w:cs="Arial"/>
          <w:sz w:val="20"/>
          <w:szCs w:val="20"/>
        </w:rPr>
        <w:t>Strategia</w:t>
      </w:r>
      <w:proofErr w:type="spellEnd"/>
      <w:r w:rsidR="000F6C8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F6C8F" w:rsidRPr="003A3842">
        <w:rPr>
          <w:rFonts w:ascii="Verdana" w:hAnsi="Verdana" w:cs="Arial"/>
          <w:sz w:val="20"/>
          <w:szCs w:val="20"/>
        </w:rPr>
        <w:t>s</w:t>
      </w:r>
      <w:r w:rsidR="00FB5ECF" w:rsidRPr="003A3842">
        <w:rPr>
          <w:rFonts w:ascii="Verdana" w:hAnsi="Verdana" w:cs="Arial"/>
          <w:sz w:val="20"/>
          <w:szCs w:val="20"/>
        </w:rPr>
        <w:t>a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dinamică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dezvoltare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asigură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companiei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poziție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competitivă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piața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internă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dar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și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cea</w:t>
      </w:r>
      <w:proofErr w:type="spellEnd"/>
      <w:r w:rsidR="00FB5E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B5ECF" w:rsidRPr="003A3842">
        <w:rPr>
          <w:rFonts w:ascii="Verdana" w:hAnsi="Verdana" w:cs="Arial"/>
          <w:sz w:val="20"/>
          <w:szCs w:val="20"/>
        </w:rPr>
        <w:t>regională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 - zona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Mării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Negre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și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Mării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Mediterane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, Europa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Centrală</w:t>
      </w:r>
      <w:proofErr w:type="spellEnd"/>
      <w:r w:rsidR="00245F11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245F11" w:rsidRPr="003A3842">
        <w:rPr>
          <w:rFonts w:ascii="Verdana" w:hAnsi="Verdana" w:cs="Arial"/>
          <w:sz w:val="20"/>
          <w:szCs w:val="20"/>
        </w:rPr>
        <w:t>ș</w:t>
      </w:r>
      <w:r w:rsidR="000F6C8F" w:rsidRPr="003A3842">
        <w:rPr>
          <w:rFonts w:ascii="Verdana" w:hAnsi="Verdana" w:cs="Arial"/>
          <w:sz w:val="20"/>
          <w:szCs w:val="20"/>
        </w:rPr>
        <w:t>i</w:t>
      </w:r>
      <w:proofErr w:type="spellEnd"/>
      <w:r w:rsidR="000F6C8F" w:rsidRPr="003A3842">
        <w:rPr>
          <w:rFonts w:ascii="Verdana" w:hAnsi="Verdana" w:cs="Arial"/>
          <w:sz w:val="20"/>
          <w:szCs w:val="20"/>
        </w:rPr>
        <w:t xml:space="preserve"> de Est.</w:t>
      </w:r>
    </w:p>
    <w:p w:rsidR="00D579FE" w:rsidRPr="003A3842" w:rsidRDefault="00D579FE" w:rsidP="00D579FE">
      <w:pPr>
        <w:jc w:val="both"/>
        <w:rPr>
          <w:rFonts w:ascii="Verdana" w:hAnsi="Verdana"/>
          <w:b/>
          <w:sz w:val="20"/>
          <w:szCs w:val="20"/>
        </w:rPr>
      </w:pPr>
      <w:proofErr w:type="spellStart"/>
      <w:r w:rsidRPr="003A3842">
        <w:rPr>
          <w:rFonts w:ascii="Verdana" w:hAnsi="Verdana"/>
          <w:b/>
          <w:sz w:val="20"/>
          <w:szCs w:val="20"/>
        </w:rPr>
        <w:t>Segmentul</w:t>
      </w:r>
      <w:proofErr w:type="spellEnd"/>
      <w:r w:rsidRPr="003A3842">
        <w:rPr>
          <w:rFonts w:ascii="Verdana" w:hAnsi="Verdana"/>
          <w:b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/>
          <w:b/>
          <w:sz w:val="20"/>
          <w:szCs w:val="20"/>
        </w:rPr>
        <w:t>distribuție</w:t>
      </w:r>
      <w:proofErr w:type="spellEnd"/>
      <w:r w:rsidRPr="003A3842">
        <w:rPr>
          <w:rFonts w:ascii="Verdana" w:hAnsi="Verdana"/>
          <w:b/>
          <w:sz w:val="20"/>
          <w:szCs w:val="20"/>
        </w:rPr>
        <w:t xml:space="preserve">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007"/>
        <w:gridCol w:w="1799"/>
        <w:gridCol w:w="1843"/>
        <w:gridCol w:w="1730"/>
      </w:tblGrid>
      <w:tr w:rsidR="003A3842" w:rsidRPr="003A3842" w:rsidTr="003A384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6234EC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>Financiar</w:t>
            </w:r>
            <w:proofErr w:type="spellEnd"/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206CB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206CBF" w:rsidRPr="003A3842"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  <w:r w:rsidR="00517342" w:rsidRPr="003A384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63D43" w:rsidRPr="003A3842">
              <w:rPr>
                <w:rFonts w:ascii="Verdana" w:hAnsi="Verdana"/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206CB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206CBF" w:rsidRPr="003A3842">
              <w:rPr>
                <w:rFonts w:ascii="Verdana" w:hAnsi="Verdana"/>
                <w:b/>
                <w:sz w:val="20"/>
                <w:szCs w:val="20"/>
              </w:rPr>
              <w:t xml:space="preserve">      </w:t>
            </w:r>
            <w:r w:rsidR="00963D43" w:rsidRPr="003A3842">
              <w:rPr>
                <w:rFonts w:ascii="Verdana" w:hAnsi="Verdana"/>
                <w:b/>
                <w:sz w:val="20"/>
                <w:szCs w:val="20"/>
              </w:rPr>
              <w:t>2016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BA6616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3A3842">
              <w:rPr>
                <w:rFonts w:ascii="Verdana" w:hAnsi="Verdana"/>
                <w:b/>
                <w:sz w:val="20"/>
                <w:szCs w:val="20"/>
              </w:rPr>
              <w:t>%</w:t>
            </w:r>
          </w:p>
        </w:tc>
      </w:tr>
      <w:tr w:rsidR="003A3842" w:rsidRPr="003A3842" w:rsidTr="003A3842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Cifra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afaceri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brută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2.453.396.882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2.196.231.269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7545F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12%</w:t>
            </w:r>
          </w:p>
        </w:tc>
      </w:tr>
      <w:tr w:rsidR="003A3842" w:rsidRPr="003A3842" w:rsidTr="003A384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EBITDA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52.903.438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55.320.629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7545F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-4%</w:t>
            </w:r>
          </w:p>
        </w:tc>
      </w:tr>
      <w:tr w:rsidR="003A3842" w:rsidRPr="003A3842" w:rsidTr="003A384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Rezultatul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net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A3842">
              <w:rPr>
                <w:rFonts w:ascii="Verdana" w:hAnsi="Verdana"/>
                <w:sz w:val="20"/>
                <w:szCs w:val="20"/>
              </w:rPr>
              <w:t>USD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28.413.464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24.119.283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7545F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18%</w:t>
            </w:r>
          </w:p>
        </w:tc>
      </w:tr>
      <w:tr w:rsidR="003A3842" w:rsidRPr="003A3842" w:rsidTr="003A3842">
        <w:trPr>
          <w:trHeight w:val="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BA0" w:rsidRPr="003A3842" w:rsidRDefault="006234EC">
            <w:pPr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Indicator </w:t>
            </w:r>
            <w:proofErr w:type="spellStart"/>
            <w:r w:rsidR="00754BA0" w:rsidRPr="003A3842">
              <w:rPr>
                <w:rFonts w:ascii="Verdana" w:hAnsi="Verdana"/>
                <w:b/>
                <w:sz w:val="20"/>
                <w:szCs w:val="20"/>
              </w:rPr>
              <w:t>Operaţional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7545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7545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A0" w:rsidRPr="003A3842" w:rsidRDefault="00754BA0" w:rsidP="007545FC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A3842" w:rsidRPr="003A3842" w:rsidTr="003A384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Cantități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carburanți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- retail 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7545F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9%</w:t>
            </w:r>
          </w:p>
        </w:tc>
      </w:tr>
      <w:tr w:rsidR="003A3842" w:rsidRPr="003A3842" w:rsidTr="003A384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Cantități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carburanți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en-gros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D43" w:rsidRPr="003A3842" w:rsidRDefault="00963D43" w:rsidP="00963D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1.191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1.126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7545F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6%</w:t>
            </w:r>
          </w:p>
        </w:tc>
      </w:tr>
      <w:tr w:rsidR="003A3842" w:rsidRPr="003A3842" w:rsidTr="003A384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963D43">
            <w:pPr>
              <w:jc w:val="both"/>
              <w:rPr>
                <w:rFonts w:ascii="Verdana" w:hAnsi="Verdana" w:cs="Arial"/>
                <w:sz w:val="20"/>
                <w:szCs w:val="20"/>
                <w:lang w:val="en-GB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Cantitati</w:t>
            </w:r>
            <w:proofErr w:type="spellEnd"/>
            <w:r w:rsidRPr="003A3842">
              <w:rPr>
                <w:rFonts w:ascii="Verdana" w:hAnsi="Verdana"/>
                <w:sz w:val="20"/>
                <w:szCs w:val="20"/>
              </w:rPr>
              <w:t xml:space="preserve"> GPL </w:t>
            </w: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vandute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963D43">
            <w:pPr>
              <w:jc w:val="center"/>
              <w:rPr>
                <w:rFonts w:ascii="Verdana" w:hAnsi="Verdana" w:cs="Arial"/>
                <w:sz w:val="20"/>
                <w:szCs w:val="20"/>
                <w:lang w:val="en-GB"/>
              </w:rPr>
            </w:pPr>
            <w:proofErr w:type="spellStart"/>
            <w:r w:rsidRPr="003A3842">
              <w:rPr>
                <w:rFonts w:ascii="Verdana" w:hAnsi="Verdana"/>
                <w:sz w:val="20"/>
                <w:szCs w:val="20"/>
              </w:rPr>
              <w:t>Kt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363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615444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273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D43" w:rsidRPr="003A3842" w:rsidRDefault="00963D43" w:rsidP="007545FC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3A3842">
              <w:rPr>
                <w:rFonts w:ascii="Verdana" w:eastAsia="Times New Roman" w:hAnsi="Verdana" w:cs="Arial"/>
                <w:sz w:val="20"/>
                <w:szCs w:val="20"/>
              </w:rPr>
              <w:t>33%</w:t>
            </w:r>
          </w:p>
        </w:tc>
      </w:tr>
    </w:tbl>
    <w:p w:rsidR="00D579FE" w:rsidRPr="003A3842" w:rsidRDefault="00DA4526" w:rsidP="00D579F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spellStart"/>
      <w:r w:rsidRPr="003A3842">
        <w:rPr>
          <w:rFonts w:ascii="Verdana" w:hAnsi="Verdana" w:cs="Verdana,Italic"/>
          <w:i/>
          <w:iCs/>
          <w:sz w:val="20"/>
          <w:szCs w:val="20"/>
        </w:rPr>
        <w:t>N</w:t>
      </w:r>
      <w:r w:rsidR="003A3842">
        <w:rPr>
          <w:rFonts w:ascii="Verdana" w:hAnsi="Verdana" w:cs="Verdana,Italic"/>
          <w:i/>
          <w:iCs/>
          <w:sz w:val="20"/>
          <w:szCs w:val="20"/>
        </w:rPr>
        <w:t>otă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: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Segmentul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de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distribuţie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cuprinde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rezultatele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subsidiarelor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Rom Oil, Rompetrol Downstream, Rompetrol Quality Control,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Rompetrol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Logistics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şi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</w:t>
      </w:r>
      <w:proofErr w:type="spellStart"/>
      <w:r w:rsidR="00D579FE" w:rsidRPr="003A3842">
        <w:rPr>
          <w:rFonts w:ascii="Verdana" w:hAnsi="Verdana" w:cs="Verdana,Italic"/>
          <w:i/>
          <w:iCs/>
          <w:sz w:val="20"/>
          <w:szCs w:val="20"/>
        </w:rPr>
        <w:t>Rompetrol</w:t>
      </w:r>
      <w:proofErr w:type="spellEnd"/>
      <w:r w:rsidR="00D579FE" w:rsidRPr="003A3842">
        <w:rPr>
          <w:rFonts w:ascii="Verdana" w:hAnsi="Verdana" w:cs="Verdana,Italic"/>
          <w:i/>
          <w:iCs/>
          <w:sz w:val="20"/>
          <w:szCs w:val="20"/>
        </w:rPr>
        <w:t xml:space="preserve"> Gas</w:t>
      </w:r>
    </w:p>
    <w:p w:rsidR="009B26A8" w:rsidRPr="003A3842" w:rsidRDefault="009B26A8" w:rsidP="000233F8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Cifra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afaceri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brută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consolidată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a </w:t>
      </w:r>
      <w:proofErr w:type="spellStart"/>
      <w:r w:rsidRPr="003A3842">
        <w:rPr>
          <w:rFonts w:ascii="Verdana" w:hAnsi="Verdana" w:cs="Arial"/>
          <w:sz w:val="20"/>
          <w:szCs w:val="20"/>
        </w:rPr>
        <w:t>segmentului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distribuț</w:t>
      </w:r>
      <w:r w:rsidR="000233F8" w:rsidRPr="003A3842">
        <w:rPr>
          <w:rFonts w:ascii="Verdana" w:hAnsi="Verdana" w:cs="Arial"/>
          <w:sz w:val="20"/>
          <w:szCs w:val="20"/>
        </w:rPr>
        <w:t>ie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r w:rsidRPr="003A3842">
        <w:rPr>
          <w:rFonts w:ascii="Verdana" w:hAnsi="Verdana" w:cs="Arial"/>
          <w:sz w:val="20"/>
          <w:szCs w:val="20"/>
        </w:rPr>
        <w:t xml:space="preserve">s-a </w:t>
      </w:r>
      <w:proofErr w:type="spellStart"/>
      <w:r w:rsidRPr="003A3842">
        <w:rPr>
          <w:rFonts w:ascii="Verdana" w:hAnsi="Verdana" w:cs="Arial"/>
          <w:sz w:val="20"/>
          <w:szCs w:val="20"/>
        </w:rPr>
        <w:t>ridicat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la </w:t>
      </w:r>
      <w:proofErr w:type="spellStart"/>
      <w:r w:rsidRPr="003A3842">
        <w:rPr>
          <w:rFonts w:ascii="Verdana" w:hAnsi="Verdana" w:cs="Arial"/>
          <w:sz w:val="20"/>
          <w:szCs w:val="20"/>
        </w:rPr>
        <w:t>peste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r w:rsidR="003F1CA7">
        <w:rPr>
          <w:rFonts w:ascii="Verdana" w:hAnsi="Verdana" w:cs="Arial"/>
          <w:sz w:val="20"/>
          <w:szCs w:val="20"/>
        </w:rPr>
        <w:t>2,45</w:t>
      </w:r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miliarde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USD </w:t>
      </w:r>
      <w:proofErr w:type="spellStart"/>
      <w:r w:rsidRPr="003A3842">
        <w:rPr>
          <w:rFonts w:ascii="Verdana" w:hAnsi="Verdana" w:cs="Arial"/>
          <w:sz w:val="20"/>
          <w:szCs w:val="20"/>
        </w:rPr>
        <w:t>în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2017,</w:t>
      </w:r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A14754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A1475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creș</w:t>
      </w:r>
      <w:r w:rsidR="000233F8" w:rsidRPr="003A3842">
        <w:rPr>
          <w:rFonts w:ascii="Verdana" w:hAnsi="Verdana" w:cs="Arial"/>
          <w:sz w:val="20"/>
          <w:szCs w:val="20"/>
        </w:rPr>
        <w:t>tere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cu 12% </w:t>
      </w:r>
      <w:proofErr w:type="spellStart"/>
      <w:r w:rsidR="003F1CA7">
        <w:rPr>
          <w:rFonts w:ascii="Verdana" w:hAnsi="Verdana" w:cs="Arial"/>
          <w:sz w:val="20"/>
          <w:szCs w:val="20"/>
        </w:rPr>
        <w:t>fa</w:t>
      </w:r>
      <w:r w:rsidR="007B0737">
        <w:rPr>
          <w:rFonts w:ascii="Verdana" w:hAnsi="Verdana" w:cs="Arial"/>
          <w:sz w:val="20"/>
          <w:szCs w:val="20"/>
        </w:rPr>
        <w:t>ță</w:t>
      </w:r>
      <w:proofErr w:type="spellEnd"/>
      <w:r w:rsidR="007B0737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7B0737">
        <w:rPr>
          <w:rFonts w:ascii="Verdana" w:hAnsi="Verdana" w:cs="Arial"/>
          <w:sz w:val="20"/>
          <w:szCs w:val="20"/>
        </w:rPr>
        <w:t>rezultatul</w:t>
      </w:r>
      <w:proofErr w:type="spellEnd"/>
      <w:r w:rsidR="007B07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B0737">
        <w:rPr>
          <w:rFonts w:ascii="Verdana" w:hAnsi="Verdana" w:cs="Arial"/>
          <w:sz w:val="20"/>
          <w:szCs w:val="20"/>
        </w:rPr>
        <w:t>înregistrat</w:t>
      </w:r>
      <w:proofErr w:type="spellEnd"/>
      <w:r w:rsidR="007B073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B0737">
        <w:rPr>
          <w:rFonts w:ascii="Verdana" w:hAnsi="Verdana" w:cs="Arial"/>
          <w:sz w:val="20"/>
          <w:szCs w:val="20"/>
        </w:rPr>
        <w:t>î</w:t>
      </w:r>
      <w:r w:rsidR="003F1CA7">
        <w:rPr>
          <w:rFonts w:ascii="Verdana" w:hAnsi="Verdana" w:cs="Arial"/>
          <w:sz w:val="20"/>
          <w:szCs w:val="20"/>
        </w:rPr>
        <w:t>n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</w:t>
      </w:r>
      <w:r w:rsidR="00531E4F" w:rsidRPr="003A3842">
        <w:rPr>
          <w:rFonts w:ascii="Verdana" w:hAnsi="Verdana" w:cs="Arial"/>
          <w:sz w:val="20"/>
          <w:szCs w:val="20"/>
        </w:rPr>
        <w:t xml:space="preserve">2016.  </w:t>
      </w:r>
      <w:r w:rsidRPr="003A3842">
        <w:rPr>
          <w:rFonts w:ascii="Verdana" w:hAnsi="Verdana" w:cs="Arial"/>
          <w:sz w:val="20"/>
          <w:szCs w:val="20"/>
        </w:rPr>
        <w:t xml:space="preserve"> </w:t>
      </w:r>
    </w:p>
    <w:p w:rsidR="00A14754" w:rsidRPr="003A3842" w:rsidRDefault="00150429" w:rsidP="000233F8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În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volum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A3842">
        <w:rPr>
          <w:rFonts w:ascii="Verdana" w:hAnsi="Verdana" w:cs="Arial"/>
          <w:sz w:val="20"/>
          <w:szCs w:val="20"/>
        </w:rPr>
        <w:t>v</w:t>
      </w:r>
      <w:r w:rsidR="00A14754" w:rsidRPr="003A3842">
        <w:rPr>
          <w:rFonts w:ascii="Verdana" w:hAnsi="Verdana" w:cs="Arial"/>
          <w:sz w:val="20"/>
          <w:szCs w:val="20"/>
        </w:rPr>
        <w:t>ânzările</w:t>
      </w:r>
      <w:proofErr w:type="spellEnd"/>
      <w:r w:rsidR="00A14754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A14754" w:rsidRPr="003A3842">
        <w:rPr>
          <w:rFonts w:ascii="Verdana" w:hAnsi="Verdana" w:cs="Arial"/>
          <w:sz w:val="20"/>
          <w:szCs w:val="20"/>
        </w:rPr>
        <w:t>carburanți</w:t>
      </w:r>
      <w:proofErr w:type="spellEnd"/>
      <w:r w:rsidR="00A14754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pe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retail au </w:t>
      </w:r>
      <w:proofErr w:type="spellStart"/>
      <w:r w:rsidRPr="003A3842">
        <w:rPr>
          <w:rFonts w:ascii="Verdana" w:hAnsi="Verdana" w:cs="Arial"/>
          <w:sz w:val="20"/>
          <w:szCs w:val="20"/>
        </w:rPr>
        <w:t>crescut</w:t>
      </w:r>
      <w:proofErr w:type="spellEnd"/>
      <w:r w:rsidR="00F379CF" w:rsidRPr="003A3842">
        <w:rPr>
          <w:rFonts w:ascii="Verdana" w:hAnsi="Verdana" w:cs="Arial"/>
          <w:sz w:val="20"/>
          <w:szCs w:val="20"/>
        </w:rPr>
        <w:t xml:space="preserve"> cu 9% </w:t>
      </w:r>
      <w:proofErr w:type="spellStart"/>
      <w:r w:rsidRPr="003A3842">
        <w:rPr>
          <w:rFonts w:ascii="Verdana" w:hAnsi="Verdana" w:cs="Arial"/>
          <w:sz w:val="20"/>
          <w:szCs w:val="20"/>
        </w:rPr>
        <w:t>în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2017 </w:t>
      </w:r>
      <w:proofErr w:type="spellStart"/>
      <w:r w:rsidRPr="003A3842">
        <w:rPr>
          <w:rFonts w:ascii="Verdana" w:hAnsi="Verdana" w:cs="Arial"/>
          <w:sz w:val="20"/>
          <w:szCs w:val="20"/>
        </w:rPr>
        <w:t>comparativ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cu </w:t>
      </w:r>
      <w:proofErr w:type="spellStart"/>
      <w:r w:rsidRPr="003A3842">
        <w:rPr>
          <w:rFonts w:ascii="Verdana" w:hAnsi="Verdana" w:cs="Arial"/>
          <w:sz w:val="20"/>
          <w:szCs w:val="20"/>
        </w:rPr>
        <w:t>cele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din 2016,</w:t>
      </w:r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iar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en-gros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cu 6%.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Cea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mai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r w:rsidR="00496FC7" w:rsidRPr="003A3842">
        <w:rPr>
          <w:rFonts w:ascii="Verdana" w:hAnsi="Verdana" w:cs="Arial"/>
          <w:sz w:val="20"/>
          <w:szCs w:val="20"/>
        </w:rPr>
        <w:t xml:space="preserve">mare </w:t>
      </w:r>
      <w:proofErr w:type="spellStart"/>
      <w:r w:rsidR="00496FC7" w:rsidRPr="003A3842">
        <w:rPr>
          <w:rFonts w:ascii="Verdana" w:hAnsi="Verdana" w:cs="Arial"/>
          <w:sz w:val="20"/>
          <w:szCs w:val="20"/>
        </w:rPr>
        <w:t>creș</w:t>
      </w:r>
      <w:r w:rsidR="00F379CF" w:rsidRPr="003A3842">
        <w:rPr>
          <w:rFonts w:ascii="Verdana" w:hAnsi="Verdana" w:cs="Arial"/>
          <w:sz w:val="20"/>
          <w:szCs w:val="20"/>
        </w:rPr>
        <w:t>tere</w:t>
      </w:r>
      <w:proofErr w:type="spellEnd"/>
      <w:r w:rsidR="00F379CF" w:rsidRPr="003A3842">
        <w:rPr>
          <w:rFonts w:ascii="Verdana" w:hAnsi="Verdana" w:cs="Arial"/>
          <w:sz w:val="20"/>
          <w:szCs w:val="20"/>
        </w:rPr>
        <w:t xml:space="preserve"> </w:t>
      </w:r>
      <w:r w:rsidRPr="003A3842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Pr="003A3842">
        <w:rPr>
          <w:rFonts w:ascii="Verdana" w:hAnsi="Verdana" w:cs="Arial"/>
          <w:sz w:val="20"/>
          <w:szCs w:val="20"/>
        </w:rPr>
        <w:t>vânzărilor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r w:rsidR="00BB46BB" w:rsidRPr="003A3842">
        <w:rPr>
          <w:rFonts w:ascii="Verdana" w:hAnsi="Verdana" w:cs="Arial"/>
          <w:sz w:val="20"/>
          <w:szCs w:val="20"/>
        </w:rPr>
        <w:t xml:space="preserve">a </w:t>
      </w:r>
      <w:proofErr w:type="spellStart"/>
      <w:r w:rsidR="00BB46BB" w:rsidRPr="003A3842">
        <w:rPr>
          <w:rFonts w:ascii="Verdana" w:hAnsi="Verdana" w:cs="Arial"/>
          <w:sz w:val="20"/>
          <w:szCs w:val="20"/>
        </w:rPr>
        <w:t>fost</w:t>
      </w:r>
      <w:proofErr w:type="spellEnd"/>
      <w:r w:rsidR="00BB46BB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79CF" w:rsidRPr="003A3842">
        <w:rPr>
          <w:rFonts w:ascii="Verdana" w:hAnsi="Verdana" w:cs="Arial"/>
          <w:sz w:val="20"/>
          <w:szCs w:val="20"/>
        </w:rPr>
        <w:t>înregistrată</w:t>
      </w:r>
      <w:proofErr w:type="spellEnd"/>
      <w:r w:rsidR="00F379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79CF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F379C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F379CF"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="00F379CF" w:rsidRPr="003A3842">
        <w:rPr>
          <w:rFonts w:ascii="Verdana" w:hAnsi="Verdana" w:cs="Arial"/>
          <w:sz w:val="20"/>
          <w:szCs w:val="20"/>
        </w:rPr>
        <w:t xml:space="preserve"> GPL, cu 33% </w:t>
      </w:r>
      <w:proofErr w:type="spellStart"/>
      <w:r w:rsidR="00F379CF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F379CF" w:rsidRPr="003A3842">
        <w:rPr>
          <w:rFonts w:ascii="Verdana" w:hAnsi="Verdana" w:cs="Arial"/>
          <w:sz w:val="20"/>
          <w:szCs w:val="20"/>
        </w:rPr>
        <w:t xml:space="preserve"> 2017 </w:t>
      </w:r>
      <w:proofErr w:type="spellStart"/>
      <w:r w:rsidRPr="003A3842">
        <w:rPr>
          <w:rFonts w:ascii="Verdana" w:hAnsi="Verdana" w:cs="Arial"/>
          <w:sz w:val="20"/>
          <w:szCs w:val="20"/>
        </w:rPr>
        <w:t>față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r w:rsidR="00F379CF" w:rsidRPr="003A3842">
        <w:rPr>
          <w:rFonts w:ascii="Verdana" w:hAnsi="Verdana" w:cs="Arial"/>
          <w:sz w:val="20"/>
          <w:szCs w:val="20"/>
        </w:rPr>
        <w:t xml:space="preserve">2016. </w:t>
      </w:r>
    </w:p>
    <w:p w:rsidR="000233F8" w:rsidRPr="003A3842" w:rsidRDefault="00496FC7" w:rsidP="000233F8">
      <w:pPr>
        <w:jc w:val="both"/>
        <w:rPr>
          <w:rFonts w:ascii="Verdana" w:hAnsi="Verdana" w:cs="Arial"/>
          <w:sz w:val="20"/>
          <w:szCs w:val="20"/>
        </w:rPr>
      </w:pPr>
      <w:proofErr w:type="spellStart"/>
      <w:r w:rsidRPr="003A3842">
        <w:rPr>
          <w:rFonts w:ascii="Verdana" w:hAnsi="Verdana" w:cs="Arial"/>
          <w:sz w:val="20"/>
          <w:szCs w:val="20"/>
        </w:rPr>
        <w:t>Rezultatele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financiare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pozitive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distribuție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datorează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atât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investițiilor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realizate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companie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dezvoltarea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rețelei</w:t>
      </w:r>
      <w:proofErr w:type="spellEnd"/>
      <w:r w:rsidR="00531E4F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531E4F" w:rsidRPr="003A3842">
        <w:rPr>
          <w:rFonts w:ascii="Verdana" w:hAnsi="Verdana" w:cs="Arial"/>
          <w:sz w:val="20"/>
          <w:szCs w:val="20"/>
        </w:rPr>
        <w:t>st</w:t>
      </w:r>
      <w:r w:rsidR="00DB6EE5" w:rsidRPr="003A3842">
        <w:rPr>
          <w:rFonts w:ascii="Verdana" w:hAnsi="Verdana" w:cs="Arial"/>
          <w:sz w:val="20"/>
          <w:szCs w:val="20"/>
        </w:rPr>
        <w:t>ații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alimentare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cu carburant,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cât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și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optimizarea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proceselor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pe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business. De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ase</w:t>
      </w:r>
      <w:r w:rsidR="00385367" w:rsidRPr="003A3842">
        <w:rPr>
          <w:rFonts w:ascii="Verdana" w:hAnsi="Verdana" w:cs="Arial"/>
          <w:sz w:val="20"/>
          <w:szCs w:val="20"/>
        </w:rPr>
        <w:t>menea</w:t>
      </w:r>
      <w:proofErr w:type="spellEnd"/>
      <w:r w:rsidR="00385367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385367" w:rsidRPr="003A3842">
        <w:rPr>
          <w:rFonts w:ascii="Verdana" w:hAnsi="Verdana" w:cs="Arial"/>
          <w:sz w:val="20"/>
          <w:szCs w:val="20"/>
        </w:rPr>
        <w:t>rez</w:t>
      </w:r>
      <w:r w:rsidR="00A36C64" w:rsidRPr="003A3842">
        <w:rPr>
          <w:rFonts w:ascii="Verdana" w:hAnsi="Verdana" w:cs="Arial"/>
          <w:sz w:val="20"/>
          <w:szCs w:val="20"/>
        </w:rPr>
        <w:t>u</w:t>
      </w:r>
      <w:r w:rsidR="00385367" w:rsidRPr="003A3842">
        <w:rPr>
          <w:rFonts w:ascii="Verdana" w:hAnsi="Verdana" w:cs="Arial"/>
          <w:sz w:val="20"/>
          <w:szCs w:val="20"/>
        </w:rPr>
        <w:t>ltatele</w:t>
      </w:r>
      <w:proofErr w:type="spellEnd"/>
      <w:r w:rsidR="00385367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85367" w:rsidRPr="003A3842">
        <w:rPr>
          <w:rFonts w:ascii="Verdana" w:hAnsi="Verdana" w:cs="Arial"/>
          <w:sz w:val="20"/>
          <w:szCs w:val="20"/>
        </w:rPr>
        <w:t>financiare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au </w:t>
      </w:r>
      <w:proofErr w:type="spellStart"/>
      <w:r w:rsidR="003F1CA7">
        <w:rPr>
          <w:rFonts w:ascii="Verdana" w:hAnsi="Verdana" w:cs="Arial"/>
          <w:sz w:val="20"/>
          <w:szCs w:val="20"/>
        </w:rPr>
        <w:t>fost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F1CA7">
        <w:rPr>
          <w:rFonts w:ascii="Verdana" w:hAnsi="Verdana" w:cs="Arial"/>
          <w:sz w:val="20"/>
          <w:szCs w:val="20"/>
        </w:rPr>
        <w:t>influ</w:t>
      </w:r>
      <w:r w:rsidR="00DB6EE5" w:rsidRPr="003A3842">
        <w:rPr>
          <w:rFonts w:ascii="Verdana" w:hAnsi="Verdana" w:cs="Arial"/>
          <w:sz w:val="20"/>
          <w:szCs w:val="20"/>
        </w:rPr>
        <w:t>ențate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r w:rsidR="008E775A" w:rsidRPr="003A3842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="008E775A" w:rsidRPr="003A3842">
        <w:rPr>
          <w:rFonts w:ascii="Verdana" w:hAnsi="Verdana" w:cs="Arial"/>
          <w:sz w:val="20"/>
          <w:szCs w:val="20"/>
        </w:rPr>
        <w:t>evoluția</w:t>
      </w:r>
      <w:proofErr w:type="spellEnd"/>
      <w:r w:rsidR="008E775A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E775A" w:rsidRPr="003A3842">
        <w:rPr>
          <w:rFonts w:ascii="Verdana" w:hAnsi="Verdana" w:cs="Arial"/>
          <w:sz w:val="20"/>
          <w:szCs w:val="20"/>
        </w:rPr>
        <w:t>cotațiilor</w:t>
      </w:r>
      <w:proofErr w:type="spellEnd"/>
      <w:r w:rsidR="008E775A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F1CA7">
        <w:rPr>
          <w:rFonts w:ascii="Verdana" w:hAnsi="Verdana" w:cs="Arial"/>
          <w:sz w:val="20"/>
          <w:szCs w:val="20"/>
        </w:rPr>
        <w:t>internationale</w:t>
      </w:r>
      <w:proofErr w:type="spellEnd"/>
      <w:r w:rsidR="008E775A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8E775A" w:rsidRPr="003A3842">
        <w:rPr>
          <w:rFonts w:ascii="Verdana" w:hAnsi="Verdana" w:cs="Arial"/>
          <w:sz w:val="20"/>
          <w:szCs w:val="20"/>
        </w:rPr>
        <w:t>exprimate</w:t>
      </w:r>
      <w:proofErr w:type="spellEnd"/>
      <w:r w:rsidR="008E775A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E775A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8E775A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E775A" w:rsidRPr="003A3842">
        <w:rPr>
          <w:rFonts w:ascii="Verdana" w:hAnsi="Verdana" w:cs="Arial"/>
          <w:sz w:val="20"/>
          <w:szCs w:val="20"/>
        </w:rPr>
        <w:t>moneda</w:t>
      </w:r>
      <w:proofErr w:type="spellEnd"/>
      <w:r w:rsidR="008E775A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8E775A" w:rsidRPr="003A3842">
        <w:rPr>
          <w:rFonts w:ascii="Verdana" w:hAnsi="Verdana" w:cs="Arial"/>
          <w:sz w:val="20"/>
          <w:szCs w:val="20"/>
        </w:rPr>
        <w:t>referință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-</w:t>
      </w:r>
      <w:r w:rsidR="000233F8" w:rsidRPr="003A3842">
        <w:rPr>
          <w:rFonts w:ascii="Verdana" w:hAnsi="Verdana" w:cs="Arial"/>
          <w:sz w:val="20"/>
          <w:szCs w:val="20"/>
        </w:rPr>
        <w:t xml:space="preserve"> USD</w:t>
      </w:r>
      <w:r w:rsidR="008E775A" w:rsidRPr="003A384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964889" w:rsidRPr="003A3842">
        <w:rPr>
          <w:rFonts w:ascii="Verdana" w:hAnsi="Verdana" w:cs="Arial"/>
          <w:sz w:val="20"/>
          <w:szCs w:val="20"/>
        </w:rPr>
        <w:t>Aprecierea</w:t>
      </w:r>
      <w:proofErr w:type="spellEnd"/>
      <w:r w:rsidR="00964889" w:rsidRPr="003A3842">
        <w:rPr>
          <w:rFonts w:ascii="Verdana" w:hAnsi="Verdana" w:cs="Arial"/>
          <w:sz w:val="20"/>
          <w:szCs w:val="20"/>
        </w:rPr>
        <w:t xml:space="preserve"> </w:t>
      </w:r>
      <w:r w:rsidR="00DB6EE5" w:rsidRPr="003A3842">
        <w:rPr>
          <w:rFonts w:ascii="Verdana" w:hAnsi="Verdana" w:cs="Arial"/>
          <w:sz w:val="20"/>
          <w:szCs w:val="20"/>
        </w:rPr>
        <w:t xml:space="preserve">de 6% a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leului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raport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cu</w:t>
      </w:r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dolarul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american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r w:rsidR="00DB6EE5" w:rsidRPr="003A3842">
        <w:rPr>
          <w:rFonts w:ascii="Verdana" w:hAnsi="Verdana" w:cs="Arial"/>
          <w:sz w:val="20"/>
          <w:szCs w:val="20"/>
        </w:rPr>
        <w:t>d</w:t>
      </w:r>
      <w:r w:rsidR="000233F8" w:rsidRPr="003A3842">
        <w:rPr>
          <w:rFonts w:ascii="Verdana" w:hAnsi="Verdana" w:cs="Arial"/>
          <w:sz w:val="20"/>
          <w:szCs w:val="20"/>
        </w:rPr>
        <w:t xml:space="preserve">in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trimestrul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IV 2017 a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determinat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apreciere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efectivă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în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moneda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națională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, a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celor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două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cotații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să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fie de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aproximativ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9%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pentru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benzină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și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14%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pentru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DB6EE5" w:rsidRPr="003A3842">
        <w:rPr>
          <w:rFonts w:ascii="Verdana" w:hAnsi="Verdana" w:cs="Arial"/>
          <w:sz w:val="20"/>
          <w:szCs w:val="20"/>
        </w:rPr>
        <w:t>motorină</w:t>
      </w:r>
      <w:proofErr w:type="spellEnd"/>
      <w:r w:rsidR="00DB6EE5" w:rsidRPr="003A3842">
        <w:rPr>
          <w:rFonts w:ascii="Verdana" w:hAnsi="Verdana" w:cs="Arial"/>
          <w:sz w:val="20"/>
          <w:szCs w:val="20"/>
        </w:rPr>
        <w:t xml:space="preserve">. </w:t>
      </w:r>
    </w:p>
    <w:p w:rsidR="000233F8" w:rsidRPr="003A3842" w:rsidRDefault="00E367B4" w:rsidP="000233F8">
      <w:pPr>
        <w:jc w:val="both"/>
        <w:rPr>
          <w:rFonts w:ascii="Verdana" w:hAnsi="Verdana" w:cs="Arial"/>
          <w:sz w:val="20"/>
          <w:szCs w:val="20"/>
        </w:rPr>
      </w:pPr>
      <w:r w:rsidRPr="003A3842">
        <w:rPr>
          <w:rFonts w:ascii="Verdana" w:hAnsi="Verdana" w:cs="Arial"/>
          <w:sz w:val="20"/>
          <w:szCs w:val="20"/>
        </w:rPr>
        <w:t xml:space="preserve">La </w:t>
      </w:r>
      <w:proofErr w:type="spellStart"/>
      <w:r w:rsidR="003F1CA7">
        <w:rPr>
          <w:rFonts w:ascii="Verdana" w:hAnsi="Verdana" w:cs="Arial"/>
          <w:sz w:val="20"/>
          <w:szCs w:val="20"/>
        </w:rPr>
        <w:t>finele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F1CA7">
        <w:rPr>
          <w:rFonts w:ascii="Verdana" w:hAnsi="Verdana" w:cs="Arial"/>
          <w:sz w:val="20"/>
          <w:szCs w:val="20"/>
        </w:rPr>
        <w:t>lui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</w:t>
      </w:r>
      <w:r w:rsidRPr="003A3842">
        <w:rPr>
          <w:rFonts w:ascii="Verdana" w:hAnsi="Verdana" w:cs="Arial"/>
          <w:sz w:val="20"/>
          <w:szCs w:val="20"/>
        </w:rPr>
        <w:t xml:space="preserve">2017, </w:t>
      </w:r>
      <w:proofErr w:type="spellStart"/>
      <w:r w:rsidRPr="003A3842">
        <w:rPr>
          <w:rFonts w:ascii="Verdana" w:hAnsi="Verdana" w:cs="Arial"/>
          <w:sz w:val="20"/>
          <w:szCs w:val="20"/>
        </w:rPr>
        <w:t>segmentul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distribuț</w:t>
      </w:r>
      <w:r w:rsidR="000233F8" w:rsidRPr="003A3842">
        <w:rPr>
          <w:rFonts w:ascii="Verdana" w:hAnsi="Verdana" w:cs="Arial"/>
          <w:sz w:val="20"/>
          <w:szCs w:val="20"/>
        </w:rPr>
        <w:t>ie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al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Rompetrol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Downstream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cuprindea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807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puncte</w:t>
      </w:r>
      <w:proofErr w:type="spellEnd"/>
      <w:r w:rsidR="000233F8"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="000233F8" w:rsidRPr="003A3842">
        <w:rPr>
          <w:rFonts w:ascii="Verdana" w:hAnsi="Verdana" w:cs="Arial"/>
          <w:sz w:val="20"/>
          <w:szCs w:val="20"/>
        </w:rPr>
        <w:t>co</w:t>
      </w:r>
      <w:r w:rsidRPr="003A3842">
        <w:rPr>
          <w:rFonts w:ascii="Verdana" w:hAnsi="Verdana" w:cs="Arial"/>
          <w:sz w:val="20"/>
          <w:szCs w:val="20"/>
        </w:rPr>
        <w:t>mercializare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A3842">
        <w:rPr>
          <w:rFonts w:ascii="Verdana" w:hAnsi="Verdana" w:cs="Arial"/>
          <w:sz w:val="20"/>
          <w:szCs w:val="20"/>
        </w:rPr>
        <w:t>incluzând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aici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rețeaua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de </w:t>
      </w:r>
      <w:proofErr w:type="spellStart"/>
      <w:r w:rsidRPr="003A3842">
        <w:rPr>
          <w:rFonts w:ascii="Verdana" w:hAnsi="Verdana" w:cs="Arial"/>
          <w:sz w:val="20"/>
          <w:szCs w:val="20"/>
        </w:rPr>
        <w:t>stații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proprii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A3842">
        <w:rPr>
          <w:rFonts w:ascii="Verdana" w:hAnsi="Verdana" w:cs="Arial"/>
          <w:sz w:val="20"/>
          <w:szCs w:val="20"/>
        </w:rPr>
        <w:t>stații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A3842">
        <w:rPr>
          <w:rFonts w:ascii="Verdana" w:hAnsi="Verdana" w:cs="Arial"/>
          <w:sz w:val="20"/>
          <w:szCs w:val="20"/>
        </w:rPr>
        <w:t>partener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A3842">
        <w:rPr>
          <w:rFonts w:ascii="Verdana" w:hAnsi="Verdana" w:cs="Arial"/>
          <w:sz w:val="20"/>
          <w:szCs w:val="20"/>
        </w:rPr>
        <w:t>stații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 mobile: </w:t>
      </w:r>
      <w:proofErr w:type="spellStart"/>
      <w:r w:rsidRPr="003A3842">
        <w:rPr>
          <w:rFonts w:ascii="Verdana" w:hAnsi="Verdana" w:cs="Arial"/>
          <w:sz w:val="20"/>
          <w:szCs w:val="20"/>
        </w:rPr>
        <w:t>expres</w:t>
      </w:r>
      <w:proofErr w:type="spellEnd"/>
      <w:r w:rsidRPr="003A384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3F1CA7">
        <w:rPr>
          <w:rFonts w:ascii="Verdana" w:hAnsi="Verdana" w:cs="Arial"/>
          <w:sz w:val="20"/>
          <w:szCs w:val="20"/>
        </w:rPr>
        <w:t>baze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interne de 9 </w:t>
      </w:r>
      <w:proofErr w:type="spellStart"/>
      <w:r w:rsidR="003F1CA7">
        <w:rPr>
          <w:rFonts w:ascii="Verdana" w:hAnsi="Verdana" w:cs="Arial"/>
          <w:sz w:val="20"/>
          <w:szCs w:val="20"/>
        </w:rPr>
        <w:t>și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20 </w:t>
      </w:r>
      <w:proofErr w:type="spellStart"/>
      <w:r w:rsidR="003F1CA7">
        <w:rPr>
          <w:rFonts w:ascii="Verdana" w:hAnsi="Verdana" w:cs="Arial"/>
          <w:sz w:val="20"/>
          <w:szCs w:val="20"/>
        </w:rPr>
        <w:t>metri</w:t>
      </w:r>
      <w:proofErr w:type="spellEnd"/>
      <w:r w:rsidR="003F1CA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F1CA7">
        <w:rPr>
          <w:rFonts w:ascii="Verdana" w:hAnsi="Verdana" w:cs="Arial"/>
          <w:sz w:val="20"/>
          <w:szCs w:val="20"/>
        </w:rPr>
        <w:t>cubi</w:t>
      </w:r>
      <w:proofErr w:type="spellEnd"/>
      <w:r w:rsidR="003F1CA7">
        <w:rPr>
          <w:rFonts w:ascii="Verdana" w:hAnsi="Verdana" w:cs="Arial"/>
          <w:sz w:val="20"/>
          <w:szCs w:val="20"/>
        </w:rPr>
        <w:t>.</w:t>
      </w:r>
      <w:r w:rsidR="000233F8" w:rsidRPr="003A3842">
        <w:rPr>
          <w:rFonts w:ascii="Verdana" w:hAnsi="Verdana" w:cs="Arial"/>
          <w:sz w:val="20"/>
          <w:szCs w:val="20"/>
        </w:rPr>
        <w:t xml:space="preserve"> </w:t>
      </w:r>
    </w:p>
    <w:p w:rsidR="00FF0DEE" w:rsidRPr="00AD7394" w:rsidRDefault="00D579FE" w:rsidP="005D1E52">
      <w:pPr>
        <w:jc w:val="both"/>
        <w:rPr>
          <w:rFonts w:ascii="Verdana" w:hAnsi="Verdana" w:cs="Arial"/>
          <w:sz w:val="18"/>
          <w:szCs w:val="18"/>
        </w:rPr>
      </w:pPr>
      <w:r w:rsidRPr="00615444">
        <w:rPr>
          <w:rFonts w:ascii="Verdana" w:hAnsi="Verdana" w:cs="Verdana,BoldItalic"/>
          <w:bCs/>
          <w:i/>
          <w:iCs/>
          <w:sz w:val="18"/>
          <w:szCs w:val="18"/>
        </w:rPr>
        <w:t xml:space="preserve">* </w:t>
      </w:r>
      <w:proofErr w:type="spellStart"/>
      <w:r w:rsidRPr="00AD7394">
        <w:rPr>
          <w:rFonts w:ascii="Verdana" w:hAnsi="Verdana"/>
          <w:i/>
          <w:sz w:val="18"/>
          <w:szCs w:val="18"/>
        </w:rPr>
        <w:t>Situatiile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D7394">
        <w:rPr>
          <w:rFonts w:ascii="Verdana" w:hAnsi="Verdana"/>
          <w:i/>
          <w:sz w:val="18"/>
          <w:szCs w:val="18"/>
        </w:rPr>
        <w:t>financiare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consolidate ale </w:t>
      </w:r>
      <w:proofErr w:type="spellStart"/>
      <w:r w:rsidRPr="00AD7394">
        <w:rPr>
          <w:rFonts w:ascii="Verdana" w:hAnsi="Verdana"/>
          <w:i/>
          <w:sz w:val="18"/>
          <w:szCs w:val="18"/>
        </w:rPr>
        <w:t>Rompetrol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Rafinare </w:t>
      </w:r>
      <w:proofErr w:type="spellStart"/>
      <w:r w:rsidRPr="00AD7394">
        <w:rPr>
          <w:rFonts w:ascii="Verdana" w:hAnsi="Verdana"/>
          <w:i/>
          <w:sz w:val="18"/>
          <w:szCs w:val="18"/>
        </w:rPr>
        <w:t>includ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D7394">
        <w:rPr>
          <w:rFonts w:ascii="Verdana" w:hAnsi="Verdana"/>
          <w:i/>
          <w:sz w:val="18"/>
          <w:szCs w:val="18"/>
        </w:rPr>
        <w:t>rezultatele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D7394">
        <w:rPr>
          <w:rFonts w:ascii="Verdana" w:hAnsi="Verdana"/>
          <w:i/>
          <w:sz w:val="18"/>
          <w:szCs w:val="18"/>
        </w:rPr>
        <w:t>Rompetrol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Rafinare S.A</w:t>
      </w:r>
      <w:r w:rsidR="000F462C" w:rsidRPr="00AD7394">
        <w:rPr>
          <w:rFonts w:ascii="Verdana" w:hAnsi="Verdana"/>
          <w:i/>
          <w:sz w:val="18"/>
          <w:szCs w:val="18"/>
        </w:rPr>
        <w:t xml:space="preserve">. </w:t>
      </w:r>
      <w:proofErr w:type="spellStart"/>
      <w:r w:rsidRPr="00AD7394">
        <w:rPr>
          <w:rFonts w:ascii="Verdana" w:hAnsi="Verdana"/>
          <w:i/>
          <w:sz w:val="18"/>
          <w:szCs w:val="18"/>
        </w:rPr>
        <w:t>și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D7394">
        <w:rPr>
          <w:rFonts w:ascii="Verdana" w:hAnsi="Verdana"/>
          <w:i/>
          <w:sz w:val="18"/>
          <w:szCs w:val="18"/>
        </w:rPr>
        <w:t>cele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ale </w:t>
      </w:r>
      <w:proofErr w:type="spellStart"/>
      <w:r w:rsidRPr="00AD7394">
        <w:rPr>
          <w:rFonts w:ascii="Verdana" w:hAnsi="Verdana"/>
          <w:i/>
          <w:sz w:val="18"/>
          <w:szCs w:val="18"/>
        </w:rPr>
        <w:t>subsidiarelor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AD7394">
        <w:rPr>
          <w:rFonts w:ascii="Verdana" w:hAnsi="Verdana"/>
          <w:i/>
          <w:sz w:val="18"/>
          <w:szCs w:val="18"/>
        </w:rPr>
        <w:t>Rompetrol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Quality Control S.R.L.</w:t>
      </w:r>
      <w:r w:rsidR="000F462C" w:rsidRPr="00AD7394">
        <w:rPr>
          <w:rFonts w:ascii="Verdana" w:hAnsi="Verdana"/>
          <w:i/>
          <w:sz w:val="18"/>
          <w:szCs w:val="18"/>
        </w:rPr>
        <w:t>,</w:t>
      </w:r>
      <w:r w:rsidRPr="00AD7394">
        <w:rPr>
          <w:rFonts w:ascii="Verdana" w:hAnsi="Verdana"/>
          <w:i/>
          <w:sz w:val="18"/>
          <w:szCs w:val="18"/>
        </w:rPr>
        <w:t xml:space="preserve"> Rom Oil S.A</w:t>
      </w:r>
      <w:r w:rsidR="000F462C" w:rsidRPr="00AD7394">
        <w:rPr>
          <w:rFonts w:ascii="Verdana" w:hAnsi="Verdana"/>
          <w:i/>
          <w:sz w:val="18"/>
          <w:szCs w:val="18"/>
        </w:rPr>
        <w:t xml:space="preserve">., </w:t>
      </w:r>
      <w:proofErr w:type="spellStart"/>
      <w:r w:rsidRPr="00AD7394">
        <w:rPr>
          <w:rFonts w:ascii="Verdana" w:hAnsi="Verdana"/>
          <w:i/>
          <w:sz w:val="18"/>
          <w:szCs w:val="18"/>
        </w:rPr>
        <w:t>Rompetrol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Downstream S.R.L</w:t>
      </w:r>
      <w:r w:rsidR="000F462C" w:rsidRPr="00AD7394">
        <w:rPr>
          <w:rFonts w:ascii="Verdana" w:hAnsi="Verdana"/>
          <w:i/>
          <w:sz w:val="18"/>
          <w:szCs w:val="18"/>
        </w:rPr>
        <w:t xml:space="preserve">., </w:t>
      </w:r>
      <w:proofErr w:type="spellStart"/>
      <w:r w:rsidRPr="00AD7394">
        <w:rPr>
          <w:rFonts w:ascii="Verdana" w:hAnsi="Verdana"/>
          <w:i/>
          <w:sz w:val="18"/>
          <w:szCs w:val="18"/>
        </w:rPr>
        <w:t>Rompetrol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Logistics S.R.L. </w:t>
      </w:r>
      <w:proofErr w:type="spellStart"/>
      <w:r w:rsidRPr="00AD7394">
        <w:rPr>
          <w:rFonts w:ascii="Verdana" w:hAnsi="Verdana"/>
          <w:i/>
          <w:sz w:val="18"/>
          <w:szCs w:val="18"/>
        </w:rPr>
        <w:t>Rompetrol</w:t>
      </w:r>
      <w:proofErr w:type="spellEnd"/>
      <w:r w:rsidRPr="00AD7394">
        <w:rPr>
          <w:rFonts w:ascii="Verdana" w:hAnsi="Verdana"/>
          <w:i/>
          <w:sz w:val="18"/>
          <w:szCs w:val="18"/>
        </w:rPr>
        <w:t xml:space="preserve"> Gas S.R.L</w:t>
      </w:r>
      <w:r w:rsidRPr="00AD7394">
        <w:rPr>
          <w:rFonts w:ascii="Verdana" w:hAnsi="Verdana"/>
          <w:sz w:val="18"/>
          <w:szCs w:val="18"/>
        </w:rPr>
        <w:t>.</w:t>
      </w:r>
      <w:r w:rsidR="00EB66BE" w:rsidRPr="00AD7394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EB66BE" w:rsidRPr="00AD7394">
        <w:rPr>
          <w:rFonts w:ascii="Verdana" w:hAnsi="Verdana" w:cs="Arial"/>
          <w:i/>
          <w:sz w:val="18"/>
          <w:szCs w:val="18"/>
        </w:rPr>
        <w:t>si</w:t>
      </w:r>
      <w:proofErr w:type="spellEnd"/>
      <w:r w:rsidR="00EB66BE" w:rsidRPr="00AD7394">
        <w:rPr>
          <w:rFonts w:ascii="Verdana" w:hAnsi="Verdana" w:cs="Arial"/>
          <w:i/>
          <w:sz w:val="18"/>
          <w:szCs w:val="18"/>
        </w:rPr>
        <w:t xml:space="preserve"> </w:t>
      </w:r>
      <w:proofErr w:type="spellStart"/>
      <w:r w:rsidR="00EB66BE" w:rsidRPr="00AD7394">
        <w:rPr>
          <w:rFonts w:ascii="Verdana" w:hAnsi="Verdana" w:cs="Arial"/>
          <w:i/>
          <w:sz w:val="18"/>
          <w:szCs w:val="18"/>
        </w:rPr>
        <w:t>Rompetrol</w:t>
      </w:r>
      <w:proofErr w:type="spellEnd"/>
      <w:r w:rsidR="00EB66BE" w:rsidRPr="00AD7394">
        <w:rPr>
          <w:rFonts w:ascii="Verdana" w:hAnsi="Verdana" w:cs="Arial"/>
          <w:i/>
          <w:sz w:val="18"/>
          <w:szCs w:val="18"/>
        </w:rPr>
        <w:t xml:space="preserve"> Petrochemicals S.R.L.</w:t>
      </w:r>
    </w:p>
    <w:p w:rsidR="00D579FE" w:rsidRPr="00AD7394" w:rsidRDefault="00D579FE" w:rsidP="005D1E52">
      <w:pPr>
        <w:jc w:val="both"/>
        <w:rPr>
          <w:rFonts w:ascii="Verdana" w:hAnsi="Verdana" w:cs="Verdana,Italic"/>
          <w:i/>
          <w:iCs/>
          <w:sz w:val="18"/>
          <w:szCs w:val="18"/>
        </w:rPr>
      </w:pPr>
      <w:r w:rsidRPr="00615444">
        <w:rPr>
          <w:rFonts w:ascii="Verdana" w:hAnsi="Verdana" w:cs="Verdana,BoldItalic"/>
          <w:bCs/>
          <w:i/>
          <w:iCs/>
          <w:sz w:val="18"/>
          <w:szCs w:val="18"/>
        </w:rPr>
        <w:t xml:space="preserve">*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Rezultatele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prezentate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sunt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neauditate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şi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consolidate</w:t>
      </w:r>
      <w:r w:rsidR="000F462C" w:rsidRPr="00AD7394">
        <w:rPr>
          <w:rFonts w:ascii="Verdana" w:hAnsi="Verdana" w:cs="Verdana,Italic"/>
          <w:i/>
          <w:iCs/>
          <w:sz w:val="18"/>
          <w:szCs w:val="18"/>
        </w:rPr>
        <w:t xml:space="preserve">,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iar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raportarea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a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fost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realizată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conform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Standardelor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Internaţionale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de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Raportare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</w:t>
      </w:r>
      <w:proofErr w:type="spellStart"/>
      <w:r w:rsidRPr="00AD7394">
        <w:rPr>
          <w:rFonts w:ascii="Verdana" w:hAnsi="Verdana" w:cs="Verdana,Italic"/>
          <w:i/>
          <w:iCs/>
          <w:sz w:val="18"/>
          <w:szCs w:val="18"/>
        </w:rPr>
        <w:t>Financiară</w:t>
      </w:r>
      <w:proofErr w:type="spellEnd"/>
      <w:r w:rsidRPr="00AD7394">
        <w:rPr>
          <w:rFonts w:ascii="Verdana" w:hAnsi="Verdana" w:cs="Verdana,Italic"/>
          <w:i/>
          <w:iCs/>
          <w:sz w:val="18"/>
          <w:szCs w:val="18"/>
        </w:rPr>
        <w:t xml:space="preserve"> (IFRS).</w:t>
      </w:r>
    </w:p>
    <w:p w:rsidR="00AD7394" w:rsidRPr="00615444" w:rsidRDefault="00AD7394" w:rsidP="005D1E5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:rsidR="00D579FE" w:rsidRPr="00615444" w:rsidRDefault="00D579FE" w:rsidP="00D579FE">
      <w:pPr>
        <w:rPr>
          <w:rFonts w:ascii="Verdana" w:hAnsi="Verdana" w:cs="Times New Roman"/>
          <w:b/>
          <w:sz w:val="20"/>
          <w:szCs w:val="20"/>
          <w:lang w:val="ro-RO"/>
        </w:rPr>
      </w:pPr>
      <w:proofErr w:type="spellStart"/>
      <w:r w:rsidRPr="00615444">
        <w:rPr>
          <w:rFonts w:ascii="Verdana" w:hAnsi="Verdana" w:cs="Times New Roman"/>
          <w:b/>
          <w:sz w:val="20"/>
          <w:szCs w:val="20"/>
        </w:rPr>
        <w:t>Departamentul</w:t>
      </w:r>
      <w:proofErr w:type="spellEnd"/>
      <w:r w:rsidRPr="00615444">
        <w:rPr>
          <w:rFonts w:ascii="Verdana" w:hAnsi="Verdana" w:cs="Times New Roman"/>
          <w:b/>
          <w:sz w:val="20"/>
          <w:szCs w:val="20"/>
        </w:rPr>
        <w:t xml:space="preserve"> de </w:t>
      </w:r>
      <w:proofErr w:type="spellStart"/>
      <w:r w:rsidRPr="00615444">
        <w:rPr>
          <w:rFonts w:ascii="Verdana" w:hAnsi="Verdana" w:cs="Times New Roman"/>
          <w:b/>
          <w:sz w:val="20"/>
          <w:szCs w:val="20"/>
        </w:rPr>
        <w:t>Relaţii</w:t>
      </w:r>
      <w:proofErr w:type="spellEnd"/>
      <w:r w:rsidRPr="00615444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Pr="00615444">
        <w:rPr>
          <w:rFonts w:ascii="Verdana" w:hAnsi="Verdana" w:cs="Times New Roman"/>
          <w:b/>
          <w:sz w:val="20"/>
          <w:szCs w:val="20"/>
        </w:rPr>
        <w:t>Publice</w:t>
      </w:r>
      <w:proofErr w:type="spellEnd"/>
      <w:r w:rsidRPr="00615444">
        <w:rPr>
          <w:rFonts w:ascii="Verdana" w:hAnsi="Verdana" w:cs="Times New Roman"/>
          <w:b/>
          <w:sz w:val="20"/>
          <w:szCs w:val="20"/>
        </w:rPr>
        <w:t xml:space="preserve"> </w:t>
      </w:r>
      <w:r w:rsidRPr="00615444">
        <w:rPr>
          <w:rFonts w:ascii="Verdana" w:hAnsi="Verdana" w:cs="Times New Roman"/>
          <w:b/>
          <w:sz w:val="20"/>
          <w:szCs w:val="20"/>
          <w:lang w:val="ro-RO"/>
        </w:rPr>
        <w:t xml:space="preserve">şi Comunicare </w:t>
      </w:r>
    </w:p>
    <w:p w:rsidR="007877ED" w:rsidRPr="00615444" w:rsidRDefault="00D579FE" w:rsidP="002F0C57">
      <w:pPr>
        <w:rPr>
          <w:sz w:val="20"/>
          <w:szCs w:val="20"/>
        </w:rPr>
      </w:pPr>
      <w:r w:rsidRPr="00615444">
        <w:rPr>
          <w:rFonts w:ascii="Verdana" w:hAnsi="Verdana" w:cs="Times New Roman"/>
          <w:b/>
          <w:sz w:val="20"/>
          <w:szCs w:val="20"/>
        </w:rPr>
        <w:t xml:space="preserve">KMG International </w:t>
      </w:r>
      <w:r w:rsidR="00604393" w:rsidRPr="00615444">
        <w:rPr>
          <w:rFonts w:ascii="Verdana" w:hAnsi="Verdana" w:cs="Times New Roman"/>
          <w:sz w:val="20"/>
          <w:szCs w:val="20"/>
        </w:rPr>
        <w:t xml:space="preserve"> </w:t>
      </w:r>
    </w:p>
    <w:sectPr w:rsidR="007877ED" w:rsidRPr="00615444" w:rsidSect="003F1CA7">
      <w:headerReference w:type="default" r:id="rId11"/>
      <w:footerReference w:type="default" r:id="rId12"/>
      <w:pgSz w:w="12240" w:h="15840"/>
      <w:pgMar w:top="1560" w:right="1080" w:bottom="720" w:left="1152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6C" w:rsidRDefault="00F23D6C" w:rsidP="00F61C82">
      <w:pPr>
        <w:spacing w:after="0" w:line="240" w:lineRule="auto"/>
      </w:pPr>
      <w:r>
        <w:separator/>
      </w:r>
    </w:p>
  </w:endnote>
  <w:endnote w:type="continuationSeparator" w:id="0">
    <w:p w:rsidR="00F23D6C" w:rsidRDefault="00F23D6C" w:rsidP="00F6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5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59"/>
      <w:gridCol w:w="3432"/>
      <w:gridCol w:w="2567"/>
    </w:tblGrid>
    <w:tr w:rsidR="008648B9" w:rsidRPr="003F578C" w:rsidTr="0056774E">
      <w:trPr>
        <w:jc w:val="center"/>
      </w:trPr>
      <w:tc>
        <w:tcPr>
          <w:tcW w:w="3959" w:type="dxa"/>
        </w:tcPr>
        <w:p w:rsidR="008648B9" w:rsidRPr="003F578C" w:rsidRDefault="008648B9" w:rsidP="002D251E">
          <w:pPr>
            <w:pStyle w:val="Header"/>
            <w:rPr>
              <w:rFonts w:ascii="Times New Roman" w:hAnsi="Times New Roman" w:cs="Times New Roman"/>
              <w:color w:val="595959"/>
              <w:sz w:val="16"/>
              <w:szCs w:val="16"/>
            </w:rPr>
          </w:pPr>
        </w:p>
      </w:tc>
      <w:tc>
        <w:tcPr>
          <w:tcW w:w="3432" w:type="dxa"/>
        </w:tcPr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Trade Registry No: J 13/534/1991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Times New Roman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Fiscal Identification No: RO1860712</w:t>
          </w:r>
        </w:p>
      </w:tc>
      <w:tc>
        <w:tcPr>
          <w:tcW w:w="2567" w:type="dxa"/>
        </w:tcPr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IBAN: RO22BACX0000000030500310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Times New Roman"/>
              <w:color w:val="595959"/>
              <w:sz w:val="14"/>
              <w:szCs w:val="14"/>
            </w:rPr>
          </w:pP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UniCredit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 </w:t>
          </w: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Tiriac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 Bank – Constanta</w:t>
          </w:r>
        </w:p>
      </w:tc>
    </w:tr>
  </w:tbl>
  <w:p w:rsidR="008648B9" w:rsidRPr="003F578C" w:rsidRDefault="008648B9" w:rsidP="00F61C82">
    <w:pPr>
      <w:pStyle w:val="Footer"/>
      <w:rPr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6C" w:rsidRDefault="00F23D6C" w:rsidP="00F61C82">
      <w:pPr>
        <w:spacing w:after="0" w:line="240" w:lineRule="auto"/>
      </w:pPr>
      <w:r>
        <w:separator/>
      </w:r>
    </w:p>
  </w:footnote>
  <w:footnote w:type="continuationSeparator" w:id="0">
    <w:p w:rsidR="00F23D6C" w:rsidRDefault="00F23D6C" w:rsidP="00F6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0"/>
      <w:gridCol w:w="2783"/>
      <w:gridCol w:w="2515"/>
    </w:tblGrid>
    <w:tr w:rsidR="008648B9" w:rsidRPr="003F578C" w:rsidTr="007778AB">
      <w:trPr>
        <w:jc w:val="center"/>
      </w:trPr>
      <w:tc>
        <w:tcPr>
          <w:tcW w:w="4418" w:type="dxa"/>
          <w:vAlign w:val="center"/>
        </w:tcPr>
        <w:p w:rsidR="008648B9" w:rsidRPr="003F578C" w:rsidRDefault="008648B9" w:rsidP="00DD3B6F">
          <w:pPr>
            <w:pStyle w:val="Header"/>
            <w:rPr>
              <w:rFonts w:ascii="Times New Roman" w:hAnsi="Times New Roman" w:cs="Times New Roman"/>
              <w:color w:val="595959"/>
            </w:rPr>
          </w:pPr>
          <w:r w:rsidRPr="003F578C">
            <w:rPr>
              <w:rFonts w:ascii="Times New Roman" w:hAnsi="Times New Roman" w:cs="Times New Roman"/>
              <w:noProof/>
              <w:color w:val="595959"/>
            </w:rPr>
            <w:drawing>
              <wp:inline distT="0" distB="0" distL="0" distR="0" wp14:anchorId="79CF4CC7" wp14:editId="20C155FF">
                <wp:extent cx="2987748" cy="464213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ompetrol_KMG_colored_B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6354" cy="463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2" w:type="dxa"/>
          <w:vAlign w:val="center"/>
        </w:tcPr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CenturyGothic"/>
              <w:b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b/>
              <w:color w:val="595959"/>
              <w:sz w:val="14"/>
              <w:szCs w:val="14"/>
            </w:rPr>
            <w:t>ROMPETROL RAFINARE S.A.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Times New Roman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Times New Roman"/>
              <w:color w:val="595959"/>
              <w:sz w:val="14"/>
              <w:szCs w:val="14"/>
            </w:rPr>
            <w:t xml:space="preserve"> 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Bulevardul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 </w:t>
          </w: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Navodari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, </w:t>
          </w: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nr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. 215,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Pavilion </w:t>
          </w: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Administrativ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, 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Navodari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, </w:t>
          </w:r>
          <w:proofErr w:type="spellStart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Judetul</w:t>
          </w:r>
          <w:proofErr w:type="spellEnd"/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 xml:space="preserve"> Constanta,</w:t>
          </w:r>
        </w:p>
        <w:p w:rsidR="008648B9" w:rsidRPr="003F578C" w:rsidRDefault="008648B9" w:rsidP="00912803">
          <w:pPr>
            <w:pStyle w:val="Header"/>
            <w:jc w:val="right"/>
            <w:rPr>
              <w:rFonts w:ascii="Century Gothic" w:hAnsi="Century Gothic" w:cs="Times New Roman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ROMANIA</w:t>
          </w:r>
        </w:p>
      </w:tc>
      <w:tc>
        <w:tcPr>
          <w:tcW w:w="2556" w:type="dxa"/>
          <w:vAlign w:val="center"/>
        </w:tcPr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phone: + (40) 241 50 60 00</w:t>
          </w:r>
        </w:p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+ (40) 241 50 61 50</w:t>
          </w:r>
        </w:p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fax: + (40) 241 50 69 30</w:t>
          </w:r>
        </w:p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color w:val="595959"/>
              <w:sz w:val="14"/>
              <w:szCs w:val="14"/>
            </w:rPr>
            <w:t>office.rafinare@rompetrol.com</w:t>
          </w:r>
        </w:p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CenturyGothic"/>
              <w:b/>
              <w:color w:val="FF0000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b/>
              <w:color w:val="FF0000"/>
              <w:sz w:val="14"/>
              <w:szCs w:val="14"/>
            </w:rPr>
            <w:t>www.rompetrol-rafinare.ro</w:t>
          </w:r>
        </w:p>
        <w:p w:rsidR="008648B9" w:rsidRPr="003F578C" w:rsidRDefault="008648B9" w:rsidP="00912803">
          <w:pPr>
            <w:autoSpaceDE w:val="0"/>
            <w:autoSpaceDN w:val="0"/>
            <w:adjustRightInd w:val="0"/>
            <w:jc w:val="right"/>
            <w:rPr>
              <w:rFonts w:ascii="Century Gothic" w:hAnsi="Century Gothic" w:cs="Times New Roman"/>
              <w:b/>
              <w:color w:val="595959"/>
              <w:sz w:val="14"/>
              <w:szCs w:val="14"/>
            </w:rPr>
          </w:pPr>
          <w:r w:rsidRPr="003F578C">
            <w:rPr>
              <w:rFonts w:ascii="Century Gothic" w:hAnsi="Century Gothic" w:cs="CenturyGothic"/>
              <w:b/>
              <w:color w:val="FF0000"/>
              <w:sz w:val="14"/>
              <w:szCs w:val="14"/>
            </w:rPr>
            <w:t>www.rompetrol.com</w:t>
          </w:r>
        </w:p>
      </w:tc>
    </w:tr>
  </w:tbl>
  <w:p w:rsidR="008648B9" w:rsidRPr="003F578C" w:rsidRDefault="008648B9">
    <w:pPr>
      <w:pStyle w:val="Header"/>
      <w:rPr>
        <w:rFonts w:ascii="Times New Roman" w:hAnsi="Times New Roman" w:cs="Times New Roman"/>
        <w:color w:val="59595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2A9"/>
    <w:multiLevelType w:val="hybridMultilevel"/>
    <w:tmpl w:val="680E8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AE9"/>
    <w:multiLevelType w:val="hybridMultilevel"/>
    <w:tmpl w:val="99DAE80C"/>
    <w:lvl w:ilvl="0" w:tplc="BB0A1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8B875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400B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B905E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E3E1E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C68A5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B099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526BFE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40AFB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6F140EC6"/>
    <w:multiLevelType w:val="hybridMultilevel"/>
    <w:tmpl w:val="EE781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82"/>
    <w:rsid w:val="00000859"/>
    <w:rsid w:val="00000B64"/>
    <w:rsid w:val="000018E9"/>
    <w:rsid w:val="00002CEE"/>
    <w:rsid w:val="00004098"/>
    <w:rsid w:val="00005675"/>
    <w:rsid w:val="00005F5B"/>
    <w:rsid w:val="00014399"/>
    <w:rsid w:val="0001496F"/>
    <w:rsid w:val="000233F8"/>
    <w:rsid w:val="0002645E"/>
    <w:rsid w:val="00026927"/>
    <w:rsid w:val="00034EB2"/>
    <w:rsid w:val="000442DC"/>
    <w:rsid w:val="0004447E"/>
    <w:rsid w:val="000446A2"/>
    <w:rsid w:val="00046136"/>
    <w:rsid w:val="00051C6A"/>
    <w:rsid w:val="00054BED"/>
    <w:rsid w:val="00067BC2"/>
    <w:rsid w:val="00071897"/>
    <w:rsid w:val="00072906"/>
    <w:rsid w:val="00076C40"/>
    <w:rsid w:val="00077C6D"/>
    <w:rsid w:val="000805A6"/>
    <w:rsid w:val="00082C3A"/>
    <w:rsid w:val="0008449D"/>
    <w:rsid w:val="00085F37"/>
    <w:rsid w:val="000939EF"/>
    <w:rsid w:val="00093CAB"/>
    <w:rsid w:val="00093E3B"/>
    <w:rsid w:val="0009795A"/>
    <w:rsid w:val="00097AD2"/>
    <w:rsid w:val="000A1D8F"/>
    <w:rsid w:val="000A2D4C"/>
    <w:rsid w:val="000B23CD"/>
    <w:rsid w:val="000B5609"/>
    <w:rsid w:val="000C52F3"/>
    <w:rsid w:val="000C65A2"/>
    <w:rsid w:val="000C7E50"/>
    <w:rsid w:val="000D2393"/>
    <w:rsid w:val="000D6D2E"/>
    <w:rsid w:val="000E3FD1"/>
    <w:rsid w:val="000F0D3C"/>
    <w:rsid w:val="000F26BC"/>
    <w:rsid w:val="000F377E"/>
    <w:rsid w:val="000F462C"/>
    <w:rsid w:val="000F5F8C"/>
    <w:rsid w:val="000F6C8F"/>
    <w:rsid w:val="00101A19"/>
    <w:rsid w:val="00104D93"/>
    <w:rsid w:val="00110C34"/>
    <w:rsid w:val="00110FD6"/>
    <w:rsid w:val="00122AEC"/>
    <w:rsid w:val="001254BD"/>
    <w:rsid w:val="001263C4"/>
    <w:rsid w:val="001319D7"/>
    <w:rsid w:val="00133C2F"/>
    <w:rsid w:val="001347BE"/>
    <w:rsid w:val="001353A3"/>
    <w:rsid w:val="00141E2C"/>
    <w:rsid w:val="0014301F"/>
    <w:rsid w:val="00145301"/>
    <w:rsid w:val="001453B7"/>
    <w:rsid w:val="00145AB5"/>
    <w:rsid w:val="00146FDD"/>
    <w:rsid w:val="00150251"/>
    <w:rsid w:val="00150429"/>
    <w:rsid w:val="00151743"/>
    <w:rsid w:val="00155CCD"/>
    <w:rsid w:val="001561E1"/>
    <w:rsid w:val="0016045D"/>
    <w:rsid w:val="00161F9F"/>
    <w:rsid w:val="00163768"/>
    <w:rsid w:val="001651B7"/>
    <w:rsid w:val="001660B5"/>
    <w:rsid w:val="00176391"/>
    <w:rsid w:val="0017698D"/>
    <w:rsid w:val="00177F11"/>
    <w:rsid w:val="00193999"/>
    <w:rsid w:val="001A1043"/>
    <w:rsid w:val="001A3298"/>
    <w:rsid w:val="001A422D"/>
    <w:rsid w:val="001A6D34"/>
    <w:rsid w:val="001B0665"/>
    <w:rsid w:val="001B2D76"/>
    <w:rsid w:val="001C22AB"/>
    <w:rsid w:val="001D146E"/>
    <w:rsid w:val="001D1DE8"/>
    <w:rsid w:val="001D3E08"/>
    <w:rsid w:val="001D4FDA"/>
    <w:rsid w:val="001D4FE2"/>
    <w:rsid w:val="001E1B1B"/>
    <w:rsid w:val="001E41B1"/>
    <w:rsid w:val="001E50BE"/>
    <w:rsid w:val="001E5BD8"/>
    <w:rsid w:val="001F1615"/>
    <w:rsid w:val="001F2B96"/>
    <w:rsid w:val="001F377C"/>
    <w:rsid w:val="001F3968"/>
    <w:rsid w:val="00200600"/>
    <w:rsid w:val="00200FC2"/>
    <w:rsid w:val="00203191"/>
    <w:rsid w:val="002047D4"/>
    <w:rsid w:val="00205211"/>
    <w:rsid w:val="002054BB"/>
    <w:rsid w:val="00205C83"/>
    <w:rsid w:val="0020663B"/>
    <w:rsid w:val="00206CBF"/>
    <w:rsid w:val="0020709F"/>
    <w:rsid w:val="002073E5"/>
    <w:rsid w:val="00212D37"/>
    <w:rsid w:val="00215BEF"/>
    <w:rsid w:val="00215F52"/>
    <w:rsid w:val="002230BD"/>
    <w:rsid w:val="00224FBA"/>
    <w:rsid w:val="002325B5"/>
    <w:rsid w:val="00241C72"/>
    <w:rsid w:val="00243860"/>
    <w:rsid w:val="00245F11"/>
    <w:rsid w:val="00247204"/>
    <w:rsid w:val="00250479"/>
    <w:rsid w:val="00252BF2"/>
    <w:rsid w:val="0025537A"/>
    <w:rsid w:val="002556E0"/>
    <w:rsid w:val="0026103E"/>
    <w:rsid w:val="00262512"/>
    <w:rsid w:val="00263B7A"/>
    <w:rsid w:val="00267E44"/>
    <w:rsid w:val="00273843"/>
    <w:rsid w:val="00275818"/>
    <w:rsid w:val="0028466D"/>
    <w:rsid w:val="00284F6D"/>
    <w:rsid w:val="00285AB6"/>
    <w:rsid w:val="002875E0"/>
    <w:rsid w:val="00287DF9"/>
    <w:rsid w:val="002947DC"/>
    <w:rsid w:val="002A36A9"/>
    <w:rsid w:val="002A5E14"/>
    <w:rsid w:val="002B04FC"/>
    <w:rsid w:val="002B195B"/>
    <w:rsid w:val="002B4CF8"/>
    <w:rsid w:val="002B5D15"/>
    <w:rsid w:val="002B6743"/>
    <w:rsid w:val="002B67E2"/>
    <w:rsid w:val="002B7503"/>
    <w:rsid w:val="002B75F2"/>
    <w:rsid w:val="002C1E7C"/>
    <w:rsid w:val="002C21C2"/>
    <w:rsid w:val="002C4421"/>
    <w:rsid w:val="002C4A93"/>
    <w:rsid w:val="002C5C20"/>
    <w:rsid w:val="002C6632"/>
    <w:rsid w:val="002D1786"/>
    <w:rsid w:val="002D251E"/>
    <w:rsid w:val="002D4CA2"/>
    <w:rsid w:val="002D7B44"/>
    <w:rsid w:val="002E07B7"/>
    <w:rsid w:val="002E6686"/>
    <w:rsid w:val="002F07B3"/>
    <w:rsid w:val="002F0C57"/>
    <w:rsid w:val="002F2B98"/>
    <w:rsid w:val="002F3654"/>
    <w:rsid w:val="0030267E"/>
    <w:rsid w:val="003117AD"/>
    <w:rsid w:val="003135B9"/>
    <w:rsid w:val="00321427"/>
    <w:rsid w:val="00322F33"/>
    <w:rsid w:val="003234C4"/>
    <w:rsid w:val="00323F46"/>
    <w:rsid w:val="003243DD"/>
    <w:rsid w:val="00325C75"/>
    <w:rsid w:val="00333A09"/>
    <w:rsid w:val="00333D67"/>
    <w:rsid w:val="003367AD"/>
    <w:rsid w:val="0034095D"/>
    <w:rsid w:val="0034446C"/>
    <w:rsid w:val="00345945"/>
    <w:rsid w:val="00346F85"/>
    <w:rsid w:val="00353CBC"/>
    <w:rsid w:val="00353DF7"/>
    <w:rsid w:val="0035522D"/>
    <w:rsid w:val="00356348"/>
    <w:rsid w:val="00360152"/>
    <w:rsid w:val="00360B58"/>
    <w:rsid w:val="0036147B"/>
    <w:rsid w:val="003630FE"/>
    <w:rsid w:val="00363CBE"/>
    <w:rsid w:val="00364B0A"/>
    <w:rsid w:val="00366332"/>
    <w:rsid w:val="003664B0"/>
    <w:rsid w:val="00371E5C"/>
    <w:rsid w:val="00374063"/>
    <w:rsid w:val="0037411C"/>
    <w:rsid w:val="003741E1"/>
    <w:rsid w:val="00376228"/>
    <w:rsid w:val="003772CE"/>
    <w:rsid w:val="00385367"/>
    <w:rsid w:val="00385DE5"/>
    <w:rsid w:val="00390023"/>
    <w:rsid w:val="00391BF8"/>
    <w:rsid w:val="00394AD0"/>
    <w:rsid w:val="0039772F"/>
    <w:rsid w:val="003A0FB4"/>
    <w:rsid w:val="003A2090"/>
    <w:rsid w:val="003A3842"/>
    <w:rsid w:val="003A4829"/>
    <w:rsid w:val="003A5E28"/>
    <w:rsid w:val="003B1451"/>
    <w:rsid w:val="003B37AF"/>
    <w:rsid w:val="003B407C"/>
    <w:rsid w:val="003B71D6"/>
    <w:rsid w:val="003B71ED"/>
    <w:rsid w:val="003B71F1"/>
    <w:rsid w:val="003C0DEA"/>
    <w:rsid w:val="003C4954"/>
    <w:rsid w:val="003C4C79"/>
    <w:rsid w:val="003C51A3"/>
    <w:rsid w:val="003D480B"/>
    <w:rsid w:val="003E0F0F"/>
    <w:rsid w:val="003F0DE8"/>
    <w:rsid w:val="003F1CA7"/>
    <w:rsid w:val="003F1F87"/>
    <w:rsid w:val="003F2765"/>
    <w:rsid w:val="003F2E81"/>
    <w:rsid w:val="003F4EE4"/>
    <w:rsid w:val="003F578C"/>
    <w:rsid w:val="003F6795"/>
    <w:rsid w:val="003F7696"/>
    <w:rsid w:val="00404149"/>
    <w:rsid w:val="00404208"/>
    <w:rsid w:val="00405CEA"/>
    <w:rsid w:val="00412868"/>
    <w:rsid w:val="00414EEE"/>
    <w:rsid w:val="004179EA"/>
    <w:rsid w:val="00421342"/>
    <w:rsid w:val="004234B7"/>
    <w:rsid w:val="00424981"/>
    <w:rsid w:val="0042538C"/>
    <w:rsid w:val="0042572A"/>
    <w:rsid w:val="00432130"/>
    <w:rsid w:val="00432C47"/>
    <w:rsid w:val="00444D88"/>
    <w:rsid w:val="00446CE5"/>
    <w:rsid w:val="0044729A"/>
    <w:rsid w:val="00451908"/>
    <w:rsid w:val="00452322"/>
    <w:rsid w:val="0045272A"/>
    <w:rsid w:val="004529BB"/>
    <w:rsid w:val="00457241"/>
    <w:rsid w:val="0045741A"/>
    <w:rsid w:val="004631ED"/>
    <w:rsid w:val="00464B70"/>
    <w:rsid w:val="00465A54"/>
    <w:rsid w:val="00467CD1"/>
    <w:rsid w:val="00471700"/>
    <w:rsid w:val="00476A89"/>
    <w:rsid w:val="00480A11"/>
    <w:rsid w:val="00483BA0"/>
    <w:rsid w:val="00484779"/>
    <w:rsid w:val="0048483C"/>
    <w:rsid w:val="004854E1"/>
    <w:rsid w:val="00485C33"/>
    <w:rsid w:val="00487C98"/>
    <w:rsid w:val="00490299"/>
    <w:rsid w:val="00490313"/>
    <w:rsid w:val="00492576"/>
    <w:rsid w:val="004944FD"/>
    <w:rsid w:val="0049566A"/>
    <w:rsid w:val="00496709"/>
    <w:rsid w:val="00496FC7"/>
    <w:rsid w:val="004A12F9"/>
    <w:rsid w:val="004A6C93"/>
    <w:rsid w:val="004B2801"/>
    <w:rsid w:val="004C4F3D"/>
    <w:rsid w:val="004D3D3B"/>
    <w:rsid w:val="004D58AF"/>
    <w:rsid w:val="004D6D94"/>
    <w:rsid w:val="004E6F58"/>
    <w:rsid w:val="004F0D37"/>
    <w:rsid w:val="00502290"/>
    <w:rsid w:val="0050451F"/>
    <w:rsid w:val="00511E43"/>
    <w:rsid w:val="00511EA4"/>
    <w:rsid w:val="005128B0"/>
    <w:rsid w:val="00513857"/>
    <w:rsid w:val="00515934"/>
    <w:rsid w:val="00517342"/>
    <w:rsid w:val="00517C96"/>
    <w:rsid w:val="00525397"/>
    <w:rsid w:val="0052592C"/>
    <w:rsid w:val="00530166"/>
    <w:rsid w:val="005301BB"/>
    <w:rsid w:val="00531E4F"/>
    <w:rsid w:val="00541053"/>
    <w:rsid w:val="00541320"/>
    <w:rsid w:val="00544397"/>
    <w:rsid w:val="00545F98"/>
    <w:rsid w:val="0055488C"/>
    <w:rsid w:val="00555E21"/>
    <w:rsid w:val="00560B37"/>
    <w:rsid w:val="005612D3"/>
    <w:rsid w:val="00562921"/>
    <w:rsid w:val="00565FC0"/>
    <w:rsid w:val="0056774E"/>
    <w:rsid w:val="00576D7A"/>
    <w:rsid w:val="00577D93"/>
    <w:rsid w:val="005818B1"/>
    <w:rsid w:val="00590E0B"/>
    <w:rsid w:val="00592FE7"/>
    <w:rsid w:val="00593E3C"/>
    <w:rsid w:val="00594225"/>
    <w:rsid w:val="00595470"/>
    <w:rsid w:val="0059555B"/>
    <w:rsid w:val="005A0112"/>
    <w:rsid w:val="005A0338"/>
    <w:rsid w:val="005A2D50"/>
    <w:rsid w:val="005A3377"/>
    <w:rsid w:val="005A3C8F"/>
    <w:rsid w:val="005A3F35"/>
    <w:rsid w:val="005A5605"/>
    <w:rsid w:val="005A7114"/>
    <w:rsid w:val="005B0EE7"/>
    <w:rsid w:val="005B1566"/>
    <w:rsid w:val="005B32B1"/>
    <w:rsid w:val="005D0FBE"/>
    <w:rsid w:val="005D1E52"/>
    <w:rsid w:val="005D509D"/>
    <w:rsid w:val="005E2761"/>
    <w:rsid w:val="005E5403"/>
    <w:rsid w:val="005E6AC9"/>
    <w:rsid w:val="005F0DAE"/>
    <w:rsid w:val="005F2C22"/>
    <w:rsid w:val="005F4949"/>
    <w:rsid w:val="005F7F2E"/>
    <w:rsid w:val="00604393"/>
    <w:rsid w:val="006043A8"/>
    <w:rsid w:val="00606A0F"/>
    <w:rsid w:val="00607506"/>
    <w:rsid w:val="00610C1D"/>
    <w:rsid w:val="00611887"/>
    <w:rsid w:val="00613305"/>
    <w:rsid w:val="00615444"/>
    <w:rsid w:val="00617426"/>
    <w:rsid w:val="00620637"/>
    <w:rsid w:val="006234EC"/>
    <w:rsid w:val="0062790D"/>
    <w:rsid w:val="0063236C"/>
    <w:rsid w:val="006341FC"/>
    <w:rsid w:val="0063580B"/>
    <w:rsid w:val="00637E5B"/>
    <w:rsid w:val="00642AF8"/>
    <w:rsid w:val="006456F3"/>
    <w:rsid w:val="00652F76"/>
    <w:rsid w:val="00653F5D"/>
    <w:rsid w:val="00664D88"/>
    <w:rsid w:val="00665274"/>
    <w:rsid w:val="00671330"/>
    <w:rsid w:val="006723AC"/>
    <w:rsid w:val="006749AB"/>
    <w:rsid w:val="00676553"/>
    <w:rsid w:val="006933DF"/>
    <w:rsid w:val="006A0840"/>
    <w:rsid w:val="006A1C6A"/>
    <w:rsid w:val="006A491F"/>
    <w:rsid w:val="006B219C"/>
    <w:rsid w:val="006C0229"/>
    <w:rsid w:val="006C55C1"/>
    <w:rsid w:val="006D3608"/>
    <w:rsid w:val="006E110B"/>
    <w:rsid w:val="006E3A77"/>
    <w:rsid w:val="006F115F"/>
    <w:rsid w:val="006F5EC5"/>
    <w:rsid w:val="00705D0C"/>
    <w:rsid w:val="00705D1A"/>
    <w:rsid w:val="0070696B"/>
    <w:rsid w:val="0070771B"/>
    <w:rsid w:val="00711539"/>
    <w:rsid w:val="00714C47"/>
    <w:rsid w:val="00722D22"/>
    <w:rsid w:val="0072459D"/>
    <w:rsid w:val="007266D3"/>
    <w:rsid w:val="007336F8"/>
    <w:rsid w:val="00735D30"/>
    <w:rsid w:val="00741071"/>
    <w:rsid w:val="00741BEA"/>
    <w:rsid w:val="007509C3"/>
    <w:rsid w:val="0075262F"/>
    <w:rsid w:val="0075399F"/>
    <w:rsid w:val="0075412A"/>
    <w:rsid w:val="007541DC"/>
    <w:rsid w:val="007545FC"/>
    <w:rsid w:val="00754BA0"/>
    <w:rsid w:val="00754CD4"/>
    <w:rsid w:val="0075764F"/>
    <w:rsid w:val="0077329F"/>
    <w:rsid w:val="00777064"/>
    <w:rsid w:val="007778AB"/>
    <w:rsid w:val="00783E8D"/>
    <w:rsid w:val="007867B0"/>
    <w:rsid w:val="00786D33"/>
    <w:rsid w:val="007877ED"/>
    <w:rsid w:val="00790D7E"/>
    <w:rsid w:val="00795394"/>
    <w:rsid w:val="007A1BF5"/>
    <w:rsid w:val="007A279F"/>
    <w:rsid w:val="007A66F8"/>
    <w:rsid w:val="007A7374"/>
    <w:rsid w:val="007A741F"/>
    <w:rsid w:val="007B0737"/>
    <w:rsid w:val="007B0D77"/>
    <w:rsid w:val="007B157B"/>
    <w:rsid w:val="007B734D"/>
    <w:rsid w:val="007C599D"/>
    <w:rsid w:val="007C6BD6"/>
    <w:rsid w:val="007D42C4"/>
    <w:rsid w:val="007D5720"/>
    <w:rsid w:val="007E0E8B"/>
    <w:rsid w:val="007E1B0D"/>
    <w:rsid w:val="007E27C7"/>
    <w:rsid w:val="007E3006"/>
    <w:rsid w:val="007F0598"/>
    <w:rsid w:val="007F6FEA"/>
    <w:rsid w:val="008018BC"/>
    <w:rsid w:val="00802062"/>
    <w:rsid w:val="008071D4"/>
    <w:rsid w:val="00807EEE"/>
    <w:rsid w:val="008100C5"/>
    <w:rsid w:val="00812380"/>
    <w:rsid w:val="00815854"/>
    <w:rsid w:val="008253EA"/>
    <w:rsid w:val="0083459E"/>
    <w:rsid w:val="0083596F"/>
    <w:rsid w:val="00844514"/>
    <w:rsid w:val="00856D3D"/>
    <w:rsid w:val="0086140F"/>
    <w:rsid w:val="008648B9"/>
    <w:rsid w:val="0086578B"/>
    <w:rsid w:val="00866AB9"/>
    <w:rsid w:val="00870BC9"/>
    <w:rsid w:val="00873433"/>
    <w:rsid w:val="008743D6"/>
    <w:rsid w:val="00887B18"/>
    <w:rsid w:val="0089159A"/>
    <w:rsid w:val="0089372F"/>
    <w:rsid w:val="00897155"/>
    <w:rsid w:val="008A56C1"/>
    <w:rsid w:val="008B1CA4"/>
    <w:rsid w:val="008B24B9"/>
    <w:rsid w:val="008B472E"/>
    <w:rsid w:val="008B482A"/>
    <w:rsid w:val="008C3997"/>
    <w:rsid w:val="008C79B9"/>
    <w:rsid w:val="008C7EBC"/>
    <w:rsid w:val="008D0BC6"/>
    <w:rsid w:val="008D1D34"/>
    <w:rsid w:val="008D223A"/>
    <w:rsid w:val="008D5D8E"/>
    <w:rsid w:val="008E2F33"/>
    <w:rsid w:val="008E4391"/>
    <w:rsid w:val="008E51ED"/>
    <w:rsid w:val="008E775A"/>
    <w:rsid w:val="008F552B"/>
    <w:rsid w:val="009028CC"/>
    <w:rsid w:val="009054E0"/>
    <w:rsid w:val="00905E1E"/>
    <w:rsid w:val="00905EAA"/>
    <w:rsid w:val="00906586"/>
    <w:rsid w:val="009073E4"/>
    <w:rsid w:val="00911417"/>
    <w:rsid w:val="0091245A"/>
    <w:rsid w:val="00912803"/>
    <w:rsid w:val="00913F7B"/>
    <w:rsid w:val="009164C9"/>
    <w:rsid w:val="00920896"/>
    <w:rsid w:val="00922C88"/>
    <w:rsid w:val="00925A69"/>
    <w:rsid w:val="00940E99"/>
    <w:rsid w:val="00941DF1"/>
    <w:rsid w:val="0094451D"/>
    <w:rsid w:val="0095123F"/>
    <w:rsid w:val="00951C72"/>
    <w:rsid w:val="00956F14"/>
    <w:rsid w:val="009625FF"/>
    <w:rsid w:val="00963D43"/>
    <w:rsid w:val="00964889"/>
    <w:rsid w:val="009665B4"/>
    <w:rsid w:val="00972CBB"/>
    <w:rsid w:val="0098163D"/>
    <w:rsid w:val="00981D74"/>
    <w:rsid w:val="00982DA0"/>
    <w:rsid w:val="00985427"/>
    <w:rsid w:val="00985439"/>
    <w:rsid w:val="0099076C"/>
    <w:rsid w:val="009941A3"/>
    <w:rsid w:val="00994B01"/>
    <w:rsid w:val="00994ED7"/>
    <w:rsid w:val="009A075C"/>
    <w:rsid w:val="009A20D8"/>
    <w:rsid w:val="009A493C"/>
    <w:rsid w:val="009A50E4"/>
    <w:rsid w:val="009A5322"/>
    <w:rsid w:val="009A7974"/>
    <w:rsid w:val="009B26A8"/>
    <w:rsid w:val="009B6DB9"/>
    <w:rsid w:val="009D0B72"/>
    <w:rsid w:val="009D10F1"/>
    <w:rsid w:val="009E7611"/>
    <w:rsid w:val="009F3B88"/>
    <w:rsid w:val="009F49ED"/>
    <w:rsid w:val="009F6BCB"/>
    <w:rsid w:val="00A01620"/>
    <w:rsid w:val="00A10AAF"/>
    <w:rsid w:val="00A11A9E"/>
    <w:rsid w:val="00A14754"/>
    <w:rsid w:val="00A207A4"/>
    <w:rsid w:val="00A26EBE"/>
    <w:rsid w:val="00A36C64"/>
    <w:rsid w:val="00A41CD2"/>
    <w:rsid w:val="00A423EB"/>
    <w:rsid w:val="00A42879"/>
    <w:rsid w:val="00A464E4"/>
    <w:rsid w:val="00A47302"/>
    <w:rsid w:val="00A5260F"/>
    <w:rsid w:val="00A60BFA"/>
    <w:rsid w:val="00A612FC"/>
    <w:rsid w:val="00A632BF"/>
    <w:rsid w:val="00A6643D"/>
    <w:rsid w:val="00A73918"/>
    <w:rsid w:val="00A806FC"/>
    <w:rsid w:val="00A842C1"/>
    <w:rsid w:val="00A85434"/>
    <w:rsid w:val="00A87D2D"/>
    <w:rsid w:val="00A91067"/>
    <w:rsid w:val="00A91425"/>
    <w:rsid w:val="00A91C6C"/>
    <w:rsid w:val="00AA2EEE"/>
    <w:rsid w:val="00AA38F5"/>
    <w:rsid w:val="00AB038B"/>
    <w:rsid w:val="00AB39FF"/>
    <w:rsid w:val="00AC37A5"/>
    <w:rsid w:val="00AC6AF6"/>
    <w:rsid w:val="00AC7009"/>
    <w:rsid w:val="00AC7641"/>
    <w:rsid w:val="00AC7B67"/>
    <w:rsid w:val="00AD1187"/>
    <w:rsid w:val="00AD7394"/>
    <w:rsid w:val="00AE35FE"/>
    <w:rsid w:val="00AE73B3"/>
    <w:rsid w:val="00AF151D"/>
    <w:rsid w:val="00AF3A72"/>
    <w:rsid w:val="00AF417D"/>
    <w:rsid w:val="00AF61C1"/>
    <w:rsid w:val="00B02A85"/>
    <w:rsid w:val="00B03FB9"/>
    <w:rsid w:val="00B07349"/>
    <w:rsid w:val="00B102DF"/>
    <w:rsid w:val="00B123FF"/>
    <w:rsid w:val="00B15EAD"/>
    <w:rsid w:val="00B16A7B"/>
    <w:rsid w:val="00B2430B"/>
    <w:rsid w:val="00B27292"/>
    <w:rsid w:val="00B36955"/>
    <w:rsid w:val="00B4475D"/>
    <w:rsid w:val="00B460C7"/>
    <w:rsid w:val="00B5143E"/>
    <w:rsid w:val="00B56D35"/>
    <w:rsid w:val="00B60A37"/>
    <w:rsid w:val="00B616C0"/>
    <w:rsid w:val="00B620E3"/>
    <w:rsid w:val="00B636CE"/>
    <w:rsid w:val="00B6684F"/>
    <w:rsid w:val="00B7067F"/>
    <w:rsid w:val="00B754C5"/>
    <w:rsid w:val="00B77E6A"/>
    <w:rsid w:val="00B82A90"/>
    <w:rsid w:val="00B869DF"/>
    <w:rsid w:val="00B87BA7"/>
    <w:rsid w:val="00B94412"/>
    <w:rsid w:val="00B95493"/>
    <w:rsid w:val="00B972F3"/>
    <w:rsid w:val="00BA3730"/>
    <w:rsid w:val="00BA3BF1"/>
    <w:rsid w:val="00BA5367"/>
    <w:rsid w:val="00BA60D2"/>
    <w:rsid w:val="00BB1AD5"/>
    <w:rsid w:val="00BB2DB4"/>
    <w:rsid w:val="00BB30E1"/>
    <w:rsid w:val="00BB3D0A"/>
    <w:rsid w:val="00BB41CB"/>
    <w:rsid w:val="00BB46BB"/>
    <w:rsid w:val="00BC345B"/>
    <w:rsid w:val="00BC4501"/>
    <w:rsid w:val="00BC556A"/>
    <w:rsid w:val="00BD65DE"/>
    <w:rsid w:val="00BE4AB9"/>
    <w:rsid w:val="00BF5A61"/>
    <w:rsid w:val="00C00B7F"/>
    <w:rsid w:val="00C014D0"/>
    <w:rsid w:val="00C066A0"/>
    <w:rsid w:val="00C06983"/>
    <w:rsid w:val="00C06C3B"/>
    <w:rsid w:val="00C11EC4"/>
    <w:rsid w:val="00C11F1D"/>
    <w:rsid w:val="00C121AA"/>
    <w:rsid w:val="00C12332"/>
    <w:rsid w:val="00C15970"/>
    <w:rsid w:val="00C159F2"/>
    <w:rsid w:val="00C212C0"/>
    <w:rsid w:val="00C2355E"/>
    <w:rsid w:val="00C256F9"/>
    <w:rsid w:val="00C25721"/>
    <w:rsid w:val="00C356B8"/>
    <w:rsid w:val="00C35BE3"/>
    <w:rsid w:val="00C35E7C"/>
    <w:rsid w:val="00C362CE"/>
    <w:rsid w:val="00C45F5D"/>
    <w:rsid w:val="00C4606A"/>
    <w:rsid w:val="00C4782F"/>
    <w:rsid w:val="00C5360F"/>
    <w:rsid w:val="00C54E60"/>
    <w:rsid w:val="00C6015B"/>
    <w:rsid w:val="00C6169E"/>
    <w:rsid w:val="00C63DB0"/>
    <w:rsid w:val="00C7167E"/>
    <w:rsid w:val="00C73779"/>
    <w:rsid w:val="00C74DD8"/>
    <w:rsid w:val="00C77B03"/>
    <w:rsid w:val="00C804A2"/>
    <w:rsid w:val="00C8481D"/>
    <w:rsid w:val="00C851F3"/>
    <w:rsid w:val="00C85206"/>
    <w:rsid w:val="00C905B4"/>
    <w:rsid w:val="00C93747"/>
    <w:rsid w:val="00C9595A"/>
    <w:rsid w:val="00C96C7C"/>
    <w:rsid w:val="00CA1286"/>
    <w:rsid w:val="00CA4EEE"/>
    <w:rsid w:val="00CA585B"/>
    <w:rsid w:val="00CA71DE"/>
    <w:rsid w:val="00CA7A45"/>
    <w:rsid w:val="00CB65A9"/>
    <w:rsid w:val="00CB77EE"/>
    <w:rsid w:val="00CB7EA0"/>
    <w:rsid w:val="00CC3377"/>
    <w:rsid w:val="00CC33B8"/>
    <w:rsid w:val="00CC4E75"/>
    <w:rsid w:val="00CC6FFB"/>
    <w:rsid w:val="00CD1095"/>
    <w:rsid w:val="00CD5E1E"/>
    <w:rsid w:val="00CE3E3E"/>
    <w:rsid w:val="00CE54FC"/>
    <w:rsid w:val="00CF5E87"/>
    <w:rsid w:val="00CF78E6"/>
    <w:rsid w:val="00D00334"/>
    <w:rsid w:val="00D01767"/>
    <w:rsid w:val="00D023B2"/>
    <w:rsid w:val="00D03874"/>
    <w:rsid w:val="00D055F4"/>
    <w:rsid w:val="00D05C3E"/>
    <w:rsid w:val="00D10A73"/>
    <w:rsid w:val="00D129E4"/>
    <w:rsid w:val="00D12E3C"/>
    <w:rsid w:val="00D14EA7"/>
    <w:rsid w:val="00D20F0F"/>
    <w:rsid w:val="00D232D2"/>
    <w:rsid w:val="00D25242"/>
    <w:rsid w:val="00D27618"/>
    <w:rsid w:val="00D4685D"/>
    <w:rsid w:val="00D4709B"/>
    <w:rsid w:val="00D516BA"/>
    <w:rsid w:val="00D579FE"/>
    <w:rsid w:val="00D64A46"/>
    <w:rsid w:val="00D65AF3"/>
    <w:rsid w:val="00D7450C"/>
    <w:rsid w:val="00D7522D"/>
    <w:rsid w:val="00D82ECC"/>
    <w:rsid w:val="00D85122"/>
    <w:rsid w:val="00D942B1"/>
    <w:rsid w:val="00D95023"/>
    <w:rsid w:val="00D9531D"/>
    <w:rsid w:val="00DA1DBF"/>
    <w:rsid w:val="00DA4526"/>
    <w:rsid w:val="00DA681B"/>
    <w:rsid w:val="00DB6EE5"/>
    <w:rsid w:val="00DC1105"/>
    <w:rsid w:val="00DC2365"/>
    <w:rsid w:val="00DC31EA"/>
    <w:rsid w:val="00DC3714"/>
    <w:rsid w:val="00DC6DC5"/>
    <w:rsid w:val="00DD1920"/>
    <w:rsid w:val="00DD2CF6"/>
    <w:rsid w:val="00DD2EF4"/>
    <w:rsid w:val="00DD3B6F"/>
    <w:rsid w:val="00DD4B42"/>
    <w:rsid w:val="00DD5EED"/>
    <w:rsid w:val="00DE0E1F"/>
    <w:rsid w:val="00DE47BA"/>
    <w:rsid w:val="00DE5015"/>
    <w:rsid w:val="00DE6B30"/>
    <w:rsid w:val="00DF0492"/>
    <w:rsid w:val="00DF144C"/>
    <w:rsid w:val="00DF4102"/>
    <w:rsid w:val="00E01D93"/>
    <w:rsid w:val="00E02E05"/>
    <w:rsid w:val="00E05FCC"/>
    <w:rsid w:val="00E07A7C"/>
    <w:rsid w:val="00E15412"/>
    <w:rsid w:val="00E16575"/>
    <w:rsid w:val="00E17278"/>
    <w:rsid w:val="00E20209"/>
    <w:rsid w:val="00E311B8"/>
    <w:rsid w:val="00E33962"/>
    <w:rsid w:val="00E33D17"/>
    <w:rsid w:val="00E3406C"/>
    <w:rsid w:val="00E35229"/>
    <w:rsid w:val="00E364BA"/>
    <w:rsid w:val="00E367B4"/>
    <w:rsid w:val="00E37A85"/>
    <w:rsid w:val="00E415DE"/>
    <w:rsid w:val="00E46116"/>
    <w:rsid w:val="00E4689F"/>
    <w:rsid w:val="00E52D5F"/>
    <w:rsid w:val="00E544FB"/>
    <w:rsid w:val="00E57084"/>
    <w:rsid w:val="00E6186F"/>
    <w:rsid w:val="00E64119"/>
    <w:rsid w:val="00E6628D"/>
    <w:rsid w:val="00E67D7F"/>
    <w:rsid w:val="00E814F5"/>
    <w:rsid w:val="00E83C2F"/>
    <w:rsid w:val="00E857B3"/>
    <w:rsid w:val="00E96ECC"/>
    <w:rsid w:val="00EA03C6"/>
    <w:rsid w:val="00EA58E6"/>
    <w:rsid w:val="00EA5B2D"/>
    <w:rsid w:val="00EA658E"/>
    <w:rsid w:val="00EA7182"/>
    <w:rsid w:val="00EB0158"/>
    <w:rsid w:val="00EB5FA7"/>
    <w:rsid w:val="00EB66BE"/>
    <w:rsid w:val="00EB6FC0"/>
    <w:rsid w:val="00EC3EBD"/>
    <w:rsid w:val="00EC62F1"/>
    <w:rsid w:val="00ED17DD"/>
    <w:rsid w:val="00ED238D"/>
    <w:rsid w:val="00ED2D4F"/>
    <w:rsid w:val="00EE297E"/>
    <w:rsid w:val="00EE7F13"/>
    <w:rsid w:val="00EF00B0"/>
    <w:rsid w:val="00EF64D3"/>
    <w:rsid w:val="00F00292"/>
    <w:rsid w:val="00F00C1E"/>
    <w:rsid w:val="00F01697"/>
    <w:rsid w:val="00F03D98"/>
    <w:rsid w:val="00F04A34"/>
    <w:rsid w:val="00F11EB6"/>
    <w:rsid w:val="00F13079"/>
    <w:rsid w:val="00F23050"/>
    <w:rsid w:val="00F23D6C"/>
    <w:rsid w:val="00F33192"/>
    <w:rsid w:val="00F379CF"/>
    <w:rsid w:val="00F43A42"/>
    <w:rsid w:val="00F463D5"/>
    <w:rsid w:val="00F47E5A"/>
    <w:rsid w:val="00F47FAE"/>
    <w:rsid w:val="00F54E87"/>
    <w:rsid w:val="00F55A52"/>
    <w:rsid w:val="00F61C82"/>
    <w:rsid w:val="00F6597E"/>
    <w:rsid w:val="00F664A7"/>
    <w:rsid w:val="00F80C0E"/>
    <w:rsid w:val="00F81A0F"/>
    <w:rsid w:val="00F8797E"/>
    <w:rsid w:val="00F90E24"/>
    <w:rsid w:val="00F95051"/>
    <w:rsid w:val="00F965C1"/>
    <w:rsid w:val="00FA5AFA"/>
    <w:rsid w:val="00FB004C"/>
    <w:rsid w:val="00FB16FE"/>
    <w:rsid w:val="00FB1B91"/>
    <w:rsid w:val="00FB1BAD"/>
    <w:rsid w:val="00FB3B26"/>
    <w:rsid w:val="00FB5ECF"/>
    <w:rsid w:val="00FC0520"/>
    <w:rsid w:val="00FC13DD"/>
    <w:rsid w:val="00FC433B"/>
    <w:rsid w:val="00FC4E92"/>
    <w:rsid w:val="00FD07BF"/>
    <w:rsid w:val="00FD0E75"/>
    <w:rsid w:val="00FD6DEC"/>
    <w:rsid w:val="00FE0820"/>
    <w:rsid w:val="00FE2805"/>
    <w:rsid w:val="00FE7894"/>
    <w:rsid w:val="00FF0DEE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99EF4B-B36A-4BAF-9BB0-1305EB44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DD"/>
  </w:style>
  <w:style w:type="paragraph" w:styleId="Heading1">
    <w:name w:val="heading 1"/>
    <w:basedOn w:val="Normal"/>
    <w:next w:val="Normal"/>
    <w:link w:val="Heading1Char"/>
    <w:uiPriority w:val="9"/>
    <w:qFormat/>
    <w:rsid w:val="00F6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82"/>
  </w:style>
  <w:style w:type="paragraph" w:styleId="Footer">
    <w:name w:val="footer"/>
    <w:basedOn w:val="Normal"/>
    <w:link w:val="FooterChar"/>
    <w:uiPriority w:val="99"/>
    <w:unhideWhenUsed/>
    <w:rsid w:val="00F6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82"/>
  </w:style>
  <w:style w:type="table" w:styleId="TableGrid">
    <w:name w:val="Table Grid"/>
    <w:basedOn w:val="TableNormal"/>
    <w:rsid w:val="00F6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6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Hyperlink">
    <w:name w:val="Hyperlink"/>
    <w:basedOn w:val="DefaultParagraphFont"/>
    <w:uiPriority w:val="99"/>
    <w:unhideWhenUsed/>
    <w:rsid w:val="00353DF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B24B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16575"/>
  </w:style>
  <w:style w:type="paragraph" w:customStyle="1" w:styleId="Default">
    <w:name w:val="Default"/>
    <w:rsid w:val="00261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0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8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8E51ED"/>
  </w:style>
  <w:style w:type="character" w:customStyle="1" w:styleId="s2">
    <w:name w:val="s2"/>
    <w:basedOn w:val="DefaultParagraphFont"/>
    <w:rsid w:val="008E51ED"/>
  </w:style>
  <w:style w:type="paragraph" w:customStyle="1" w:styleId="p1">
    <w:name w:val="p1"/>
    <w:basedOn w:val="Normal"/>
    <w:rsid w:val="008E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AHeading">
    <w:name w:val="toa heading"/>
    <w:basedOn w:val="Normal"/>
    <w:next w:val="Normal"/>
    <w:semiHidden/>
    <w:rsid w:val="007A1BF5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E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CF4DBF34CBC46A0AEF1D68BA8B32D" ma:contentTypeVersion="0" ma:contentTypeDescription="Creare document nou." ma:contentTypeScope="" ma:versionID="d7553df09c075e4eb10e6e6c78449e93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FA21-7512-4779-9211-E49B53F9849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B1E18F-55F9-46D6-902D-FADD5C248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4D3EDE2-9879-44C1-B440-ED92446FF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CBD21-A7AC-4A5F-A0B1-0B924381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Rompetrol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Puscuta, Aneta</dc:creator>
  <cp:lastModifiedBy>Chitu, Carmen</cp:lastModifiedBy>
  <cp:revision>2</cp:revision>
  <cp:lastPrinted>2018-02-12T11:34:00Z</cp:lastPrinted>
  <dcterms:created xsi:type="dcterms:W3CDTF">2018-02-15T17:16:00Z</dcterms:created>
  <dcterms:modified xsi:type="dcterms:W3CDTF">2018-02-15T17:16:00Z</dcterms:modified>
</cp:coreProperties>
</file>