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0DB14" w14:textId="77777777" w:rsidR="00D50C75" w:rsidRDefault="00D50C75" w:rsidP="00466AD4">
      <w:pPr>
        <w:spacing w:after="200" w:line="276" w:lineRule="auto"/>
        <w:jc w:val="both"/>
        <w:rPr>
          <w:rFonts w:ascii="Verdana" w:hAnsi="Verdana"/>
          <w:b/>
          <w:sz w:val="22"/>
          <w:szCs w:val="22"/>
          <w:lang w:val="ro-RO"/>
        </w:rPr>
      </w:pPr>
    </w:p>
    <w:p w14:paraId="13B731CB" w14:textId="5986390A" w:rsidR="009B60DE" w:rsidRDefault="001B0A46" w:rsidP="009B60DE">
      <w:pPr>
        <w:spacing w:after="200" w:line="276" w:lineRule="auto"/>
        <w:jc w:val="both"/>
        <w:rPr>
          <w:rFonts w:ascii="Verdana" w:hAnsi="Verdana"/>
          <w:b/>
          <w:sz w:val="20"/>
          <w:szCs w:val="20"/>
        </w:rPr>
      </w:pPr>
      <w:r>
        <w:rPr>
          <w:rFonts w:ascii="Verdana" w:hAnsi="Verdana"/>
          <w:b/>
          <w:sz w:val="20"/>
          <w:szCs w:val="20"/>
        </w:rPr>
        <w:t>December 6, 2022 – Press information</w:t>
      </w:r>
    </w:p>
    <w:p w14:paraId="0D47118C" w14:textId="77777777" w:rsidR="007544FA" w:rsidRPr="009B60DE" w:rsidRDefault="007544FA" w:rsidP="009B60DE">
      <w:pPr>
        <w:spacing w:after="200" w:line="276" w:lineRule="auto"/>
        <w:jc w:val="both"/>
        <w:rPr>
          <w:rFonts w:ascii="Verdana" w:hAnsi="Verdana"/>
          <w:b/>
          <w:sz w:val="20"/>
          <w:szCs w:val="20"/>
          <w:lang w:val="ro-RO"/>
        </w:rPr>
      </w:pPr>
    </w:p>
    <w:p w14:paraId="239DE218" w14:textId="7B6F70F7" w:rsidR="007544FA" w:rsidRPr="007544FA" w:rsidRDefault="007544FA" w:rsidP="007544FA">
      <w:pPr>
        <w:spacing w:after="200" w:line="276" w:lineRule="auto"/>
        <w:jc w:val="both"/>
        <w:rPr>
          <w:rFonts w:ascii="Verdana" w:hAnsi="Verdana"/>
          <w:sz w:val="20"/>
          <w:szCs w:val="20"/>
        </w:rPr>
      </w:pPr>
      <w:r w:rsidRPr="007544FA">
        <w:rPr>
          <w:rFonts w:ascii="Verdana" w:hAnsi="Verdana"/>
          <w:sz w:val="20"/>
          <w:szCs w:val="20"/>
        </w:rPr>
        <w:t xml:space="preserve">During this morning, a group of employees on the Petromidia platform refused </w:t>
      </w:r>
      <w:r w:rsidR="009E7A40">
        <w:rPr>
          <w:rFonts w:ascii="Verdana" w:hAnsi="Verdana"/>
          <w:sz w:val="20"/>
          <w:szCs w:val="20"/>
        </w:rPr>
        <w:t>to go to work, requesting a</w:t>
      </w:r>
      <w:r w:rsidRPr="007544FA">
        <w:rPr>
          <w:rFonts w:ascii="Verdana" w:hAnsi="Verdana"/>
          <w:sz w:val="20"/>
          <w:szCs w:val="20"/>
        </w:rPr>
        <w:t xml:space="preserve"> salary</w:t>
      </w:r>
      <w:r w:rsidR="009E7A40">
        <w:rPr>
          <w:rFonts w:ascii="Verdana" w:hAnsi="Verdana"/>
          <w:sz w:val="20"/>
          <w:szCs w:val="20"/>
        </w:rPr>
        <w:t xml:space="preserve"> rise</w:t>
      </w:r>
      <w:bookmarkStart w:id="0" w:name="_GoBack"/>
      <w:bookmarkEnd w:id="0"/>
      <w:r>
        <w:rPr>
          <w:rFonts w:ascii="Verdana" w:hAnsi="Verdana"/>
          <w:sz w:val="20"/>
          <w:szCs w:val="20"/>
        </w:rPr>
        <w:t xml:space="preserve">, </w:t>
      </w:r>
      <w:r w:rsidRPr="007544FA">
        <w:rPr>
          <w:rFonts w:ascii="Verdana" w:hAnsi="Verdana"/>
          <w:sz w:val="20"/>
          <w:szCs w:val="20"/>
        </w:rPr>
        <w:t>following the collective negotiations that took place recently between the Company and employee representatives.</w:t>
      </w:r>
    </w:p>
    <w:p w14:paraId="2E5A0B6E" w14:textId="6241BAF5" w:rsidR="007544FA" w:rsidRPr="007544FA" w:rsidRDefault="007544FA" w:rsidP="007544FA">
      <w:pPr>
        <w:spacing w:after="200" w:line="276" w:lineRule="auto"/>
        <w:jc w:val="both"/>
        <w:rPr>
          <w:rFonts w:ascii="Verdana" w:hAnsi="Verdana"/>
          <w:sz w:val="20"/>
          <w:szCs w:val="20"/>
        </w:rPr>
      </w:pPr>
      <w:r w:rsidRPr="007544FA">
        <w:rPr>
          <w:rFonts w:ascii="Verdana" w:hAnsi="Verdana"/>
          <w:sz w:val="20"/>
          <w:szCs w:val="20"/>
        </w:rPr>
        <w:t xml:space="preserve">Considering the current economic context and the lack of predictability of the oil products market, the Company agreed to pay a net </w:t>
      </w:r>
      <w:r>
        <w:rPr>
          <w:rFonts w:ascii="Verdana" w:hAnsi="Verdana"/>
          <w:sz w:val="20"/>
          <w:szCs w:val="20"/>
        </w:rPr>
        <w:t>bonus</w:t>
      </w:r>
      <w:r w:rsidRPr="007544FA">
        <w:rPr>
          <w:rFonts w:ascii="Verdana" w:hAnsi="Verdana"/>
          <w:sz w:val="20"/>
          <w:szCs w:val="20"/>
        </w:rPr>
        <w:t xml:space="preserve"> this week to cover inflation for the period December 2022 - February 2023 and proposed to the employee representatives the resumption of collective negotiations in February of the following year. This proposal was refused by the representatives of the employees.</w:t>
      </w:r>
    </w:p>
    <w:p w14:paraId="15926C94" w14:textId="7A00E78E" w:rsidR="007544FA" w:rsidRPr="007544FA" w:rsidRDefault="007544FA" w:rsidP="007544FA">
      <w:pPr>
        <w:spacing w:after="200" w:line="276" w:lineRule="auto"/>
        <w:jc w:val="both"/>
        <w:rPr>
          <w:rFonts w:ascii="Verdana" w:hAnsi="Verdana"/>
          <w:sz w:val="20"/>
          <w:szCs w:val="20"/>
        </w:rPr>
      </w:pPr>
      <w:r>
        <w:rPr>
          <w:rFonts w:ascii="Verdana" w:hAnsi="Verdana"/>
          <w:sz w:val="20"/>
          <w:szCs w:val="20"/>
        </w:rPr>
        <w:t xml:space="preserve">We specify that </w:t>
      </w:r>
      <w:r w:rsidRPr="007544FA">
        <w:rPr>
          <w:rFonts w:ascii="Verdana" w:hAnsi="Verdana"/>
          <w:sz w:val="20"/>
          <w:szCs w:val="20"/>
        </w:rPr>
        <w:t>the production activity of the Petromidia refinery</w:t>
      </w:r>
      <w:r>
        <w:rPr>
          <w:rFonts w:ascii="Verdana" w:hAnsi="Verdana"/>
          <w:sz w:val="20"/>
          <w:szCs w:val="20"/>
        </w:rPr>
        <w:t>,</w:t>
      </w:r>
      <w:r w:rsidRPr="007544FA">
        <w:rPr>
          <w:rFonts w:ascii="Verdana" w:hAnsi="Verdana"/>
          <w:sz w:val="20"/>
          <w:szCs w:val="20"/>
        </w:rPr>
        <w:t xml:space="preserve"> </w:t>
      </w:r>
      <w:r>
        <w:rPr>
          <w:rFonts w:ascii="Verdana" w:hAnsi="Verdana"/>
          <w:sz w:val="20"/>
          <w:szCs w:val="20"/>
        </w:rPr>
        <w:t>n</w:t>
      </w:r>
      <w:r w:rsidRPr="007544FA">
        <w:rPr>
          <w:rFonts w:ascii="Verdana" w:hAnsi="Verdana"/>
          <w:sz w:val="20"/>
          <w:szCs w:val="20"/>
        </w:rPr>
        <w:t>or the deliveries of petroleum product</w:t>
      </w:r>
      <w:r>
        <w:rPr>
          <w:rFonts w:ascii="Verdana" w:hAnsi="Verdana"/>
          <w:sz w:val="20"/>
          <w:szCs w:val="20"/>
        </w:rPr>
        <w:t xml:space="preserve">s to its partners and customers </w:t>
      </w:r>
      <w:proofErr w:type="gramStart"/>
      <w:r>
        <w:rPr>
          <w:rFonts w:ascii="Verdana" w:hAnsi="Verdana"/>
          <w:sz w:val="20"/>
          <w:szCs w:val="20"/>
        </w:rPr>
        <w:t>were affected</w:t>
      </w:r>
      <w:proofErr w:type="gramEnd"/>
      <w:r>
        <w:rPr>
          <w:rFonts w:ascii="Verdana" w:hAnsi="Verdana"/>
          <w:sz w:val="20"/>
          <w:szCs w:val="20"/>
        </w:rPr>
        <w:t>.</w:t>
      </w:r>
    </w:p>
    <w:p w14:paraId="20030452" w14:textId="283EF9A4" w:rsidR="007544FA" w:rsidRPr="007544FA" w:rsidRDefault="007544FA" w:rsidP="007544FA">
      <w:pPr>
        <w:spacing w:after="200" w:line="276" w:lineRule="auto"/>
        <w:jc w:val="both"/>
        <w:rPr>
          <w:rFonts w:ascii="Verdana" w:hAnsi="Verdana"/>
          <w:sz w:val="20"/>
          <w:szCs w:val="20"/>
        </w:rPr>
      </w:pPr>
      <w:r w:rsidRPr="007544FA">
        <w:rPr>
          <w:rFonts w:ascii="Verdana" w:hAnsi="Verdana"/>
          <w:sz w:val="20"/>
          <w:szCs w:val="20"/>
        </w:rPr>
        <w:t>In order to avoid affecting oil production and the distribution of refined products in an extr</w:t>
      </w:r>
      <w:r>
        <w:rPr>
          <w:rFonts w:ascii="Verdana" w:hAnsi="Verdana"/>
          <w:sz w:val="20"/>
          <w:szCs w:val="20"/>
        </w:rPr>
        <w:t>emely unfavorable and tense geo</w:t>
      </w:r>
      <w:r w:rsidRPr="007544FA">
        <w:rPr>
          <w:rFonts w:ascii="Verdana" w:hAnsi="Verdana"/>
          <w:sz w:val="20"/>
          <w:szCs w:val="20"/>
        </w:rPr>
        <w:t>political context, despite the employees approach did not comply with the legal provisions, the Company agreed today to assume the salary increase in the amount requested by employee representatives starting with March 1, 2023.</w:t>
      </w:r>
    </w:p>
    <w:p w14:paraId="1850AFF6" w14:textId="77777777" w:rsidR="007544FA" w:rsidRPr="007544FA" w:rsidRDefault="007544FA" w:rsidP="007544FA">
      <w:pPr>
        <w:spacing w:after="200" w:line="276" w:lineRule="auto"/>
        <w:jc w:val="both"/>
        <w:rPr>
          <w:rFonts w:ascii="Verdana" w:hAnsi="Verdana"/>
          <w:sz w:val="20"/>
          <w:szCs w:val="20"/>
        </w:rPr>
      </w:pPr>
      <w:r w:rsidRPr="007544FA">
        <w:rPr>
          <w:rFonts w:ascii="Verdana" w:hAnsi="Verdana"/>
          <w:sz w:val="20"/>
          <w:szCs w:val="20"/>
        </w:rPr>
        <w:t>The management of the company, together with the representatives of the KMG International Group (</w:t>
      </w:r>
      <w:proofErr w:type="spellStart"/>
      <w:r w:rsidRPr="007544FA">
        <w:rPr>
          <w:rFonts w:ascii="Verdana" w:hAnsi="Verdana"/>
          <w:sz w:val="20"/>
          <w:szCs w:val="20"/>
        </w:rPr>
        <w:t>Rompetrol</w:t>
      </w:r>
      <w:proofErr w:type="spellEnd"/>
      <w:r w:rsidRPr="007544FA">
        <w:rPr>
          <w:rFonts w:ascii="Verdana" w:hAnsi="Verdana"/>
          <w:sz w:val="20"/>
          <w:szCs w:val="20"/>
        </w:rPr>
        <w:t>), has a sustained dialogue with the representatives of the unions on the Petromidia platform, in order to find together a viable solution for both parties and keep the social dialogue within the applicable legal framework.</w:t>
      </w:r>
    </w:p>
    <w:p w14:paraId="0429AC06" w14:textId="6F50C987" w:rsidR="00616415" w:rsidRDefault="007544FA" w:rsidP="007544FA">
      <w:pPr>
        <w:spacing w:after="200" w:line="276" w:lineRule="auto"/>
        <w:jc w:val="both"/>
        <w:rPr>
          <w:rFonts w:ascii="Verdana" w:hAnsi="Verdana"/>
          <w:sz w:val="20"/>
          <w:szCs w:val="20"/>
        </w:rPr>
      </w:pPr>
      <w:r w:rsidRPr="007544FA">
        <w:rPr>
          <w:rFonts w:ascii="Verdana" w:hAnsi="Verdana"/>
          <w:sz w:val="20"/>
          <w:szCs w:val="20"/>
        </w:rPr>
        <w:t xml:space="preserve">Petromidia is the largest refinery in the country, with strategic importance at national and regional level. In the first 9 months of the year, the unit in Năvodari produced approximately 3 million tons of fuels, most of the total quantity </w:t>
      </w:r>
      <w:proofErr w:type="gramStart"/>
      <w:r w:rsidRPr="007544FA">
        <w:rPr>
          <w:rFonts w:ascii="Verdana" w:hAnsi="Verdana"/>
          <w:sz w:val="20"/>
          <w:szCs w:val="20"/>
        </w:rPr>
        <w:t>being directed</w:t>
      </w:r>
      <w:proofErr w:type="gramEnd"/>
      <w:r w:rsidRPr="007544FA">
        <w:rPr>
          <w:rFonts w:ascii="Verdana" w:hAnsi="Verdana"/>
          <w:sz w:val="20"/>
          <w:szCs w:val="20"/>
        </w:rPr>
        <w:t xml:space="preserve"> to the domestic market, to meet the increased demand and to prevent a shortage of petroleum products in Romania.</w:t>
      </w:r>
    </w:p>
    <w:p w14:paraId="1B8726C9" w14:textId="77777777" w:rsidR="009B60DE" w:rsidRPr="00616415" w:rsidRDefault="009B60DE" w:rsidP="009B60DE">
      <w:pPr>
        <w:spacing w:after="200" w:line="276" w:lineRule="auto"/>
        <w:jc w:val="both"/>
        <w:rPr>
          <w:rFonts w:ascii="Verdana" w:hAnsi="Verdana"/>
          <w:sz w:val="20"/>
          <w:szCs w:val="20"/>
        </w:rPr>
      </w:pPr>
    </w:p>
    <w:p w14:paraId="4DB91B33" w14:textId="13DFEE86" w:rsidR="00616415" w:rsidRPr="00616415" w:rsidRDefault="001B0A46" w:rsidP="00616415">
      <w:pPr>
        <w:spacing w:after="200" w:line="276" w:lineRule="auto"/>
        <w:jc w:val="both"/>
        <w:rPr>
          <w:rFonts w:ascii="Verdana" w:hAnsi="Verdana"/>
          <w:b/>
          <w:sz w:val="20"/>
          <w:szCs w:val="20"/>
        </w:rPr>
      </w:pPr>
      <w:r>
        <w:rPr>
          <w:rFonts w:ascii="Verdana" w:hAnsi="Verdana"/>
          <w:b/>
          <w:sz w:val="20"/>
          <w:szCs w:val="20"/>
        </w:rPr>
        <w:t>Corporate Communication and Public Relations</w:t>
      </w:r>
    </w:p>
    <w:p w14:paraId="51555622" w14:textId="77777777" w:rsidR="00616415" w:rsidRPr="00616415" w:rsidRDefault="00616415" w:rsidP="00616415">
      <w:pPr>
        <w:spacing w:after="200" w:line="276" w:lineRule="auto"/>
        <w:jc w:val="both"/>
        <w:rPr>
          <w:rFonts w:ascii="Verdana" w:hAnsi="Verdana"/>
          <w:b/>
          <w:sz w:val="20"/>
          <w:szCs w:val="20"/>
        </w:rPr>
      </w:pPr>
      <w:r w:rsidRPr="00616415">
        <w:rPr>
          <w:rFonts w:ascii="Verdana" w:hAnsi="Verdana"/>
          <w:b/>
          <w:sz w:val="20"/>
          <w:szCs w:val="20"/>
        </w:rPr>
        <w:t>KMG International</w:t>
      </w:r>
    </w:p>
    <w:p w14:paraId="51D631B0" w14:textId="77777777" w:rsidR="00616415" w:rsidRPr="00616415" w:rsidRDefault="00616415" w:rsidP="00616415">
      <w:pPr>
        <w:spacing w:after="200" w:line="276" w:lineRule="auto"/>
        <w:rPr>
          <w:sz w:val="22"/>
          <w:szCs w:val="22"/>
        </w:rPr>
      </w:pPr>
    </w:p>
    <w:p w14:paraId="213D16E3" w14:textId="77777777" w:rsidR="00D50C75" w:rsidRPr="00D50C75" w:rsidRDefault="00D50C75" w:rsidP="00616415">
      <w:pPr>
        <w:spacing w:after="200" w:line="276" w:lineRule="auto"/>
        <w:rPr>
          <w:rFonts w:ascii="Verdana" w:hAnsi="Verdana"/>
          <w:b/>
          <w:sz w:val="20"/>
          <w:szCs w:val="20"/>
        </w:rPr>
      </w:pPr>
    </w:p>
    <w:sectPr w:rsidR="00D50C75" w:rsidRPr="00D50C75" w:rsidSect="00EA09F3">
      <w:headerReference w:type="default" r:id="rId7"/>
      <w:foot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005DA" w14:textId="77777777" w:rsidR="00B555C2" w:rsidRDefault="00B555C2" w:rsidP="00302C7D">
      <w:r>
        <w:separator/>
      </w:r>
    </w:p>
  </w:endnote>
  <w:endnote w:type="continuationSeparator" w:id="0">
    <w:p w14:paraId="11B8502C" w14:textId="77777777" w:rsidR="00B555C2" w:rsidRDefault="00B555C2"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8372C" w14:textId="77777777" w:rsidR="0043580F" w:rsidRDefault="0043580F" w:rsidP="00A7168F">
    <w:pPr>
      <w:pStyle w:val="Footer"/>
      <w:jc w:val="center"/>
      <w:rPr>
        <w:rFonts w:ascii="Century Gothic" w:hAnsi="Century Gothic"/>
        <w:sz w:val="16"/>
        <w:szCs w:val="16"/>
      </w:rPr>
    </w:pPr>
    <w:r w:rsidRPr="00802672">
      <w:rPr>
        <w:noProof/>
      </w:rPr>
      <w:drawing>
        <wp:inline distT="0" distB="0" distL="0" distR="0" wp14:anchorId="43A6C441" wp14:editId="6FC3D065">
          <wp:extent cx="5943600" cy="23027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p>
  <w:p w14:paraId="0AB96735" w14:textId="77777777" w:rsidR="0043580F" w:rsidRDefault="0043580F" w:rsidP="00A7168F">
    <w:pPr>
      <w:pStyle w:val="Footer"/>
      <w:jc w:val="center"/>
      <w:rPr>
        <w:rFonts w:ascii="Century Gothic" w:hAnsi="Century Gothic"/>
        <w:sz w:val="16"/>
        <w:szCs w:val="16"/>
      </w:rPr>
    </w:pPr>
  </w:p>
  <w:p w14:paraId="05B91607" w14:textId="77777777" w:rsidR="00A7168F" w:rsidRPr="00A7168F" w:rsidRDefault="00561122" w:rsidP="00A7168F">
    <w:pPr>
      <w:pStyle w:val="Footer"/>
      <w:jc w:val="center"/>
      <w:rPr>
        <w:rFonts w:ascii="Century Gothic" w:hAnsi="Century Gothic"/>
        <w:sz w:val="16"/>
        <w:szCs w:val="16"/>
      </w:rPr>
    </w:pPr>
    <w:bookmarkStart w:id="1" w:name="_Hlk54724203"/>
    <w:bookmarkStart w:id="2" w:name="_Hlk54724204"/>
    <w:bookmarkStart w:id="3" w:name="_Hlk54724205"/>
    <w:bookmarkStart w:id="4" w:name="_Hlk54724206"/>
    <w:r>
      <w:rPr>
        <w:rFonts w:ascii="Century Gothic" w:hAnsi="Century Gothic"/>
        <w:sz w:val="16"/>
        <w:szCs w:val="16"/>
      </w:rPr>
      <w:t>ROMPETROL RAFINARE SA</w:t>
    </w:r>
  </w:p>
  <w:p w14:paraId="288EBFBE" w14:textId="77777777" w:rsidR="00A7168F" w:rsidRPr="00A7168F" w:rsidRDefault="00561122" w:rsidP="00A7168F">
    <w:pPr>
      <w:pStyle w:val="Footer"/>
      <w:jc w:val="center"/>
      <w:rPr>
        <w:rFonts w:ascii="Century Gothic" w:hAnsi="Century Gothic"/>
        <w:sz w:val="16"/>
        <w:szCs w:val="16"/>
      </w:rPr>
    </w:pPr>
    <w:r>
      <w:rPr>
        <w:rFonts w:ascii="Century Gothic" w:hAnsi="Century Gothic"/>
        <w:sz w:val="16"/>
        <w:szCs w:val="16"/>
      </w:rPr>
      <w:t>215 N</w:t>
    </w:r>
    <w:r>
      <w:rPr>
        <w:rFonts w:ascii="Century Gothic" w:hAnsi="Century Gothic"/>
        <w:sz w:val="16"/>
        <w:szCs w:val="16"/>
        <w:lang w:val="ro-RO"/>
      </w:rPr>
      <w:t xml:space="preserve">ăvodari </w:t>
    </w:r>
    <w:r>
      <w:rPr>
        <w:rFonts w:ascii="Century Gothic" w:hAnsi="Century Gothic"/>
        <w:sz w:val="16"/>
        <w:szCs w:val="16"/>
      </w:rPr>
      <w:t>Blvd. Administrative Building, 905700</w:t>
    </w:r>
    <w:r w:rsidR="00A7168F" w:rsidRPr="00A7168F">
      <w:rPr>
        <w:rFonts w:ascii="Century Gothic" w:hAnsi="Century Gothic"/>
        <w:sz w:val="16"/>
        <w:szCs w:val="16"/>
      </w:rPr>
      <w:t xml:space="preserve">, </w:t>
    </w:r>
    <w:r>
      <w:rPr>
        <w:rFonts w:ascii="Century Gothic" w:hAnsi="Century Gothic"/>
        <w:sz w:val="16"/>
        <w:szCs w:val="16"/>
      </w:rPr>
      <w:t xml:space="preserve">Năvodari, </w:t>
    </w:r>
    <w:proofErr w:type="spellStart"/>
    <w:r>
      <w:rPr>
        <w:rFonts w:ascii="Century Gothic" w:hAnsi="Century Gothic"/>
        <w:sz w:val="16"/>
        <w:szCs w:val="16"/>
      </w:rPr>
      <w:t>Constan</w:t>
    </w:r>
    <w:r>
      <w:rPr>
        <w:sz w:val="16"/>
        <w:szCs w:val="16"/>
      </w:rPr>
      <w:t>ța</w:t>
    </w:r>
    <w:proofErr w:type="spellEnd"/>
    <w:r w:rsidR="00A7168F" w:rsidRPr="00A7168F">
      <w:rPr>
        <w:rFonts w:ascii="Century Gothic" w:hAnsi="Century Gothic"/>
        <w:sz w:val="16"/>
        <w:szCs w:val="16"/>
      </w:rPr>
      <w:t>, ROMANIA</w:t>
    </w:r>
  </w:p>
  <w:p w14:paraId="075EB484" w14:textId="77777777" w:rsidR="007816F6" w:rsidRPr="00A33C30" w:rsidRDefault="00A7168F" w:rsidP="007816F6">
    <w:pPr>
      <w:autoSpaceDE w:val="0"/>
      <w:autoSpaceDN w:val="0"/>
      <w:adjustRightInd w:val="0"/>
      <w:jc w:val="right"/>
      <w:rPr>
        <w:rFonts w:ascii="Century Gothic" w:hAnsi="Century Gothic" w:cs="CenturyGothic"/>
        <w:color w:val="000000"/>
        <w:sz w:val="14"/>
        <w:szCs w:val="14"/>
      </w:rPr>
    </w:pPr>
    <w:proofErr w:type="gramStart"/>
    <w:r w:rsidRPr="00A7168F">
      <w:rPr>
        <w:rFonts w:ascii="Century Gothic" w:hAnsi="Century Gothic"/>
        <w:sz w:val="16"/>
        <w:szCs w:val="16"/>
      </w:rPr>
      <w:t>fax</w:t>
    </w:r>
    <w:proofErr w:type="gramEnd"/>
    <w:r w:rsidRPr="00A7168F">
      <w:rPr>
        <w:rFonts w:ascii="Century Gothic" w:hAnsi="Century Gothic"/>
        <w:sz w:val="16"/>
        <w:szCs w:val="16"/>
      </w:rPr>
      <w:t>: + (40) 2</w:t>
    </w:r>
    <w:r w:rsidR="00561122">
      <w:rPr>
        <w:rFonts w:ascii="Century Gothic" w:hAnsi="Century Gothic"/>
        <w:sz w:val="16"/>
        <w:szCs w:val="16"/>
      </w:rPr>
      <w:t>4</w:t>
    </w:r>
    <w:r w:rsidRPr="00A7168F">
      <w:rPr>
        <w:rFonts w:ascii="Century Gothic" w:hAnsi="Century Gothic"/>
        <w:sz w:val="16"/>
        <w:szCs w:val="16"/>
      </w:rPr>
      <w:t xml:space="preserve">1 </w:t>
    </w:r>
    <w:r w:rsidR="00561122">
      <w:rPr>
        <w:rFonts w:ascii="Century Gothic" w:hAnsi="Century Gothic"/>
        <w:sz w:val="16"/>
        <w:szCs w:val="16"/>
      </w:rPr>
      <w:t>506 930</w:t>
    </w:r>
    <w:r w:rsidRPr="00A7168F">
      <w:rPr>
        <w:rFonts w:ascii="Century Gothic" w:hAnsi="Century Gothic"/>
        <w:sz w:val="16"/>
        <w:szCs w:val="16"/>
      </w:rPr>
      <w:t xml:space="preserve"> | phone: + (40) 2</w:t>
    </w:r>
    <w:r w:rsidR="00561122">
      <w:rPr>
        <w:rFonts w:ascii="Century Gothic" w:hAnsi="Century Gothic"/>
        <w:sz w:val="16"/>
        <w:szCs w:val="16"/>
      </w:rPr>
      <w:t>4</w:t>
    </w:r>
    <w:r w:rsidRPr="00A7168F">
      <w:rPr>
        <w:rFonts w:ascii="Century Gothic" w:hAnsi="Century Gothic"/>
        <w:sz w:val="16"/>
        <w:szCs w:val="16"/>
      </w:rPr>
      <w:t xml:space="preserve">1 </w:t>
    </w:r>
    <w:r w:rsidR="00561122">
      <w:rPr>
        <w:rFonts w:ascii="Century Gothic" w:hAnsi="Century Gothic"/>
        <w:sz w:val="16"/>
        <w:szCs w:val="16"/>
      </w:rPr>
      <w:t>506</w:t>
    </w:r>
    <w:r w:rsidRPr="00A7168F">
      <w:rPr>
        <w:rFonts w:ascii="Century Gothic" w:hAnsi="Century Gothic"/>
        <w:sz w:val="16"/>
        <w:szCs w:val="16"/>
      </w:rPr>
      <w:t xml:space="preserve"> </w:t>
    </w:r>
    <w:r w:rsidR="00B64BBB">
      <w:rPr>
        <w:rFonts w:ascii="Century Gothic" w:hAnsi="Century Gothic"/>
        <w:sz w:val="16"/>
        <w:szCs w:val="16"/>
      </w:rPr>
      <w:t>100</w:t>
    </w:r>
    <w:r w:rsidRPr="00A7168F">
      <w:rPr>
        <w:rFonts w:ascii="Century Gothic" w:hAnsi="Century Gothic"/>
        <w:sz w:val="16"/>
        <w:szCs w:val="16"/>
      </w:rPr>
      <w:t xml:space="preserve"> | email: </w:t>
    </w:r>
    <w:r w:rsidR="007816F6" w:rsidRPr="007816F6">
      <w:rPr>
        <w:rFonts w:ascii="Century Gothic" w:hAnsi="Century Gothic"/>
        <w:sz w:val="16"/>
        <w:szCs w:val="16"/>
      </w:rPr>
      <w:t>office.rafinare@rompetrol.com</w:t>
    </w:r>
  </w:p>
  <w:p w14:paraId="573FF349" w14:textId="77777777" w:rsidR="00302C7D" w:rsidRPr="004D553F" w:rsidRDefault="00B555C2" w:rsidP="007816F6">
    <w:pPr>
      <w:pStyle w:val="Footer"/>
      <w:jc w:val="center"/>
      <w:rPr>
        <w:rFonts w:ascii="Century Gothic" w:hAnsi="Century Gothic"/>
        <w:sz w:val="16"/>
        <w:szCs w:val="16"/>
      </w:rPr>
    </w:pPr>
    <w:hyperlink r:id="rId2" w:history="1">
      <w:r w:rsidR="00CC2729" w:rsidRPr="009316AA">
        <w:rPr>
          <w:rStyle w:val="Hyperlink"/>
          <w:rFonts w:ascii="Century Gothic" w:hAnsi="Century Gothic"/>
          <w:sz w:val="16"/>
          <w:szCs w:val="16"/>
        </w:rPr>
        <w:t>www.rompetrol.com</w:t>
      </w:r>
    </w:hyperlink>
    <w:r w:rsidR="007816F6">
      <w:rPr>
        <w:rFonts w:ascii="Century Gothic" w:hAnsi="Century Gothic"/>
        <w:sz w:val="16"/>
        <w:szCs w:val="16"/>
      </w:rPr>
      <w:t xml:space="preserve"> </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2706B" w14:textId="77777777" w:rsidR="00B555C2" w:rsidRDefault="00B555C2" w:rsidP="00302C7D">
      <w:r>
        <w:separator/>
      </w:r>
    </w:p>
  </w:footnote>
  <w:footnote w:type="continuationSeparator" w:id="0">
    <w:p w14:paraId="5E34E282" w14:textId="77777777" w:rsidR="00B555C2" w:rsidRDefault="00B555C2"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DC2DF" w14:textId="77777777" w:rsidR="00302C7D" w:rsidRDefault="00984B49">
    <w:pPr>
      <w:pStyle w:val="Header"/>
    </w:pPr>
    <w:r w:rsidRPr="0043580F">
      <w:rPr>
        <w:noProof/>
      </w:rPr>
      <w:drawing>
        <wp:anchor distT="0" distB="0" distL="114300" distR="114300" simplePos="0" relativeHeight="251664384" behindDoc="0" locked="0" layoutInCell="1" allowOverlap="1" wp14:anchorId="2AA38E7C" wp14:editId="5F9DEA5C">
          <wp:simplePos x="0" y="0"/>
          <wp:positionH relativeFrom="margin">
            <wp:posOffset>3399790</wp:posOffset>
          </wp:positionH>
          <wp:positionV relativeFrom="margin">
            <wp:posOffset>-655955</wp:posOffset>
          </wp:positionV>
          <wp:extent cx="2628900" cy="475615"/>
          <wp:effectExtent l="0" t="0" r="0" b="635"/>
          <wp:wrapSquare wrapText="bothSides"/>
          <wp:docPr id="48" name="Picture 7" descr="A picture containing drawing&#10;&#10;Description automatically generated">
            <a:extLst xmlns:a="http://schemas.openxmlformats.org/drawingml/2006/main">
              <a:ext uri="{FF2B5EF4-FFF2-40B4-BE49-F238E27FC236}">
                <a16:creationId xmlns:a16="http://schemas.microsoft.com/office/drawing/2014/main" id="{8B1FF7FB-6B8F-1E45-9216-468FB5D047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drawing&#10;&#10;Description automatically generated">
                    <a:extLst>
                      <a:ext uri="{FF2B5EF4-FFF2-40B4-BE49-F238E27FC236}">
                        <a16:creationId xmlns:a16="http://schemas.microsoft.com/office/drawing/2014/main" id="{8B1FF7FB-6B8F-1E45-9216-468FB5D04729}"/>
                      </a:ext>
                    </a:extLst>
                  </pic:cNvPr>
                  <pic:cNvPicPr>
                    <a:picLocks noChangeAspect="1" noEditPoints="1" noChangeArrowheads="1" noChangeShapeType="1" noCrop="1"/>
                  </pic:cNvPicPr>
                </pic:nvPicPr>
                <pic:blipFill>
                  <a:blip r:embed="rId1">
                    <a:extLst>
                      <a:ext uri="{28A0092B-C50C-407E-A947-70E740481C1C}">
                        <a14:useLocalDpi xmlns:a14="http://schemas.microsoft.com/office/drawing/2010/main" val="0"/>
                      </a:ext>
                    </a:extLst>
                  </a:blip>
                  <a:stretch>
                    <a:fillRect/>
                  </a:stretch>
                </pic:blipFill>
                <pic:spPr>
                  <a:xfrm>
                    <a:off x="0" y="0"/>
                    <a:ext cx="2628900" cy="475615"/>
                  </a:xfrm>
                  <a:prstGeom prst="rect">
                    <a:avLst/>
                  </a:prstGeom>
                </pic:spPr>
              </pic:pic>
            </a:graphicData>
          </a:graphic>
        </wp:anchor>
      </w:drawing>
    </w:r>
    <w:r w:rsidR="0043580F" w:rsidRPr="00C30DEF">
      <w:rPr>
        <w:rFonts w:ascii="Century Gothic" w:hAnsi="Century Gothic"/>
        <w:noProof/>
      </w:rPr>
      <w:drawing>
        <wp:anchor distT="0" distB="0" distL="114300" distR="114300" simplePos="0" relativeHeight="251662336" behindDoc="0" locked="0" layoutInCell="1" allowOverlap="1" wp14:anchorId="4834B7EB" wp14:editId="29808CD0">
          <wp:simplePos x="0" y="0"/>
          <wp:positionH relativeFrom="margin">
            <wp:posOffset>-914237</wp:posOffset>
          </wp:positionH>
          <wp:positionV relativeFrom="margin">
            <wp:posOffset>-906780</wp:posOffset>
          </wp:positionV>
          <wp:extent cx="1513205" cy="920750"/>
          <wp:effectExtent l="0" t="0" r="0" b="0"/>
          <wp:wrapSquare wrapText="bothSides"/>
          <wp:docPr id="49"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0F"/>
    <w:rsid w:val="00006B12"/>
    <w:rsid w:val="00035C45"/>
    <w:rsid w:val="00040CC3"/>
    <w:rsid w:val="00040D59"/>
    <w:rsid w:val="00055471"/>
    <w:rsid w:val="000660E8"/>
    <w:rsid w:val="0007460B"/>
    <w:rsid w:val="0008224F"/>
    <w:rsid w:val="0008351F"/>
    <w:rsid w:val="00091AD5"/>
    <w:rsid w:val="000A6904"/>
    <w:rsid w:val="000B186E"/>
    <w:rsid w:val="000C00DE"/>
    <w:rsid w:val="000C2CDF"/>
    <w:rsid w:val="000D728A"/>
    <w:rsid w:val="000E1ECA"/>
    <w:rsid w:val="000F4123"/>
    <w:rsid w:val="00101FA3"/>
    <w:rsid w:val="001456DE"/>
    <w:rsid w:val="001473C3"/>
    <w:rsid w:val="00164F09"/>
    <w:rsid w:val="00172C2F"/>
    <w:rsid w:val="00183602"/>
    <w:rsid w:val="001A061A"/>
    <w:rsid w:val="001B0A46"/>
    <w:rsid w:val="001C6DC8"/>
    <w:rsid w:val="001D2D9B"/>
    <w:rsid w:val="001D7951"/>
    <w:rsid w:val="001E08D0"/>
    <w:rsid w:val="001F0161"/>
    <w:rsid w:val="001F25AE"/>
    <w:rsid w:val="001F5729"/>
    <w:rsid w:val="00200FFE"/>
    <w:rsid w:val="002152D8"/>
    <w:rsid w:val="00222746"/>
    <w:rsid w:val="00236513"/>
    <w:rsid w:val="00266A61"/>
    <w:rsid w:val="00267430"/>
    <w:rsid w:val="0027220F"/>
    <w:rsid w:val="00296E9B"/>
    <w:rsid w:val="002C124B"/>
    <w:rsid w:val="002D11C4"/>
    <w:rsid w:val="002F3A1F"/>
    <w:rsid w:val="00302C7D"/>
    <w:rsid w:val="00304203"/>
    <w:rsid w:val="00305991"/>
    <w:rsid w:val="00311680"/>
    <w:rsid w:val="00316535"/>
    <w:rsid w:val="00397452"/>
    <w:rsid w:val="003B3AE1"/>
    <w:rsid w:val="003C3DAD"/>
    <w:rsid w:val="003E55AD"/>
    <w:rsid w:val="003F097F"/>
    <w:rsid w:val="00406B7A"/>
    <w:rsid w:val="00406FCA"/>
    <w:rsid w:val="004076A7"/>
    <w:rsid w:val="0043580F"/>
    <w:rsid w:val="00466AD4"/>
    <w:rsid w:val="00471DEA"/>
    <w:rsid w:val="0047302A"/>
    <w:rsid w:val="00492B40"/>
    <w:rsid w:val="004A3192"/>
    <w:rsid w:val="004A4AFB"/>
    <w:rsid w:val="004D553F"/>
    <w:rsid w:val="004D77EB"/>
    <w:rsid w:val="004F64D9"/>
    <w:rsid w:val="005157D0"/>
    <w:rsid w:val="0052149A"/>
    <w:rsid w:val="00532546"/>
    <w:rsid w:val="00535FE7"/>
    <w:rsid w:val="00561122"/>
    <w:rsid w:val="0058113C"/>
    <w:rsid w:val="00593BFB"/>
    <w:rsid w:val="005A3F22"/>
    <w:rsid w:val="005B189C"/>
    <w:rsid w:val="005C7444"/>
    <w:rsid w:val="005D09C5"/>
    <w:rsid w:val="005D1A1B"/>
    <w:rsid w:val="005D6AB3"/>
    <w:rsid w:val="005F3EA6"/>
    <w:rsid w:val="005F5D6C"/>
    <w:rsid w:val="00605B10"/>
    <w:rsid w:val="006075B1"/>
    <w:rsid w:val="00616415"/>
    <w:rsid w:val="00622E06"/>
    <w:rsid w:val="00655B0C"/>
    <w:rsid w:val="00656939"/>
    <w:rsid w:val="00691E2E"/>
    <w:rsid w:val="006947B7"/>
    <w:rsid w:val="00694974"/>
    <w:rsid w:val="006952EE"/>
    <w:rsid w:val="006B2C26"/>
    <w:rsid w:val="006F194C"/>
    <w:rsid w:val="00707B18"/>
    <w:rsid w:val="0073054C"/>
    <w:rsid w:val="00752538"/>
    <w:rsid w:val="007544FA"/>
    <w:rsid w:val="0075504A"/>
    <w:rsid w:val="00771D68"/>
    <w:rsid w:val="007816F6"/>
    <w:rsid w:val="00783AB5"/>
    <w:rsid w:val="007B6852"/>
    <w:rsid w:val="007C06F5"/>
    <w:rsid w:val="007C43B6"/>
    <w:rsid w:val="007D3624"/>
    <w:rsid w:val="007D38DB"/>
    <w:rsid w:val="007D6C91"/>
    <w:rsid w:val="00813A40"/>
    <w:rsid w:val="00823985"/>
    <w:rsid w:val="00826076"/>
    <w:rsid w:val="0083534A"/>
    <w:rsid w:val="00837324"/>
    <w:rsid w:val="00845557"/>
    <w:rsid w:val="008850FA"/>
    <w:rsid w:val="00887E67"/>
    <w:rsid w:val="008908BD"/>
    <w:rsid w:val="00894376"/>
    <w:rsid w:val="008A376D"/>
    <w:rsid w:val="008A67A3"/>
    <w:rsid w:val="00911CB7"/>
    <w:rsid w:val="009218B9"/>
    <w:rsid w:val="00930806"/>
    <w:rsid w:val="0094397C"/>
    <w:rsid w:val="00944B09"/>
    <w:rsid w:val="00952263"/>
    <w:rsid w:val="009741B0"/>
    <w:rsid w:val="009813C0"/>
    <w:rsid w:val="00984B49"/>
    <w:rsid w:val="00990280"/>
    <w:rsid w:val="009936B3"/>
    <w:rsid w:val="009B60DE"/>
    <w:rsid w:val="009C7FBF"/>
    <w:rsid w:val="009D604C"/>
    <w:rsid w:val="009E116E"/>
    <w:rsid w:val="009E76D3"/>
    <w:rsid w:val="009E7A40"/>
    <w:rsid w:val="009F6B02"/>
    <w:rsid w:val="00A11BB5"/>
    <w:rsid w:val="00A15BFF"/>
    <w:rsid w:val="00A20580"/>
    <w:rsid w:val="00A33BEC"/>
    <w:rsid w:val="00A638A3"/>
    <w:rsid w:val="00A7168F"/>
    <w:rsid w:val="00A722A3"/>
    <w:rsid w:val="00A748BD"/>
    <w:rsid w:val="00A75E6A"/>
    <w:rsid w:val="00AA5A56"/>
    <w:rsid w:val="00AA64CB"/>
    <w:rsid w:val="00AB155F"/>
    <w:rsid w:val="00AB6C83"/>
    <w:rsid w:val="00AD55F3"/>
    <w:rsid w:val="00AE1A5C"/>
    <w:rsid w:val="00AE2AE5"/>
    <w:rsid w:val="00B173C0"/>
    <w:rsid w:val="00B253BE"/>
    <w:rsid w:val="00B3170B"/>
    <w:rsid w:val="00B53F7E"/>
    <w:rsid w:val="00B555C2"/>
    <w:rsid w:val="00B64BBB"/>
    <w:rsid w:val="00B761AF"/>
    <w:rsid w:val="00B822BA"/>
    <w:rsid w:val="00B8731F"/>
    <w:rsid w:val="00B9741D"/>
    <w:rsid w:val="00BA035D"/>
    <w:rsid w:val="00BA1F61"/>
    <w:rsid w:val="00BA387F"/>
    <w:rsid w:val="00BC19FA"/>
    <w:rsid w:val="00BD09F5"/>
    <w:rsid w:val="00BE6996"/>
    <w:rsid w:val="00BF3876"/>
    <w:rsid w:val="00C02D24"/>
    <w:rsid w:val="00C05072"/>
    <w:rsid w:val="00C14883"/>
    <w:rsid w:val="00C30DEF"/>
    <w:rsid w:val="00C32482"/>
    <w:rsid w:val="00C63124"/>
    <w:rsid w:val="00C85B10"/>
    <w:rsid w:val="00C93333"/>
    <w:rsid w:val="00C96FB0"/>
    <w:rsid w:val="00C97742"/>
    <w:rsid w:val="00CA4AC3"/>
    <w:rsid w:val="00CB5A26"/>
    <w:rsid w:val="00CC2729"/>
    <w:rsid w:val="00CC5BD4"/>
    <w:rsid w:val="00CE4547"/>
    <w:rsid w:val="00D0070B"/>
    <w:rsid w:val="00D05FB9"/>
    <w:rsid w:val="00D10E8D"/>
    <w:rsid w:val="00D3072F"/>
    <w:rsid w:val="00D50C75"/>
    <w:rsid w:val="00D5590B"/>
    <w:rsid w:val="00D71087"/>
    <w:rsid w:val="00D72B19"/>
    <w:rsid w:val="00D83C6F"/>
    <w:rsid w:val="00D86620"/>
    <w:rsid w:val="00D9629A"/>
    <w:rsid w:val="00DA1D49"/>
    <w:rsid w:val="00DA2978"/>
    <w:rsid w:val="00DC1B38"/>
    <w:rsid w:val="00DC2B04"/>
    <w:rsid w:val="00DD5C6A"/>
    <w:rsid w:val="00DE296C"/>
    <w:rsid w:val="00DE5E72"/>
    <w:rsid w:val="00E139EE"/>
    <w:rsid w:val="00E2076A"/>
    <w:rsid w:val="00E5318C"/>
    <w:rsid w:val="00E76B1B"/>
    <w:rsid w:val="00E87220"/>
    <w:rsid w:val="00E92F15"/>
    <w:rsid w:val="00EA09F3"/>
    <w:rsid w:val="00EB62D7"/>
    <w:rsid w:val="00EC1BCC"/>
    <w:rsid w:val="00EC2298"/>
    <w:rsid w:val="00EE349C"/>
    <w:rsid w:val="00EE7469"/>
    <w:rsid w:val="00F0614D"/>
    <w:rsid w:val="00F21089"/>
    <w:rsid w:val="00F2499D"/>
    <w:rsid w:val="00F26064"/>
    <w:rsid w:val="00F403D2"/>
    <w:rsid w:val="00F46C2B"/>
    <w:rsid w:val="00F6207E"/>
    <w:rsid w:val="00F7276D"/>
    <w:rsid w:val="00F919C1"/>
    <w:rsid w:val="00FA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73BBD"/>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7816F6"/>
    <w:rPr>
      <w:color w:val="0563C1" w:themeColor="hyperlink"/>
      <w:u w:val="single"/>
    </w:rPr>
  </w:style>
  <w:style w:type="character" w:customStyle="1" w:styleId="UnresolvedMention1">
    <w:name w:val="Unresolved Mention1"/>
    <w:basedOn w:val="DefaultParagraphFont"/>
    <w:uiPriority w:val="99"/>
    <w:semiHidden/>
    <w:unhideWhenUsed/>
    <w:rsid w:val="007816F6"/>
    <w:rPr>
      <w:color w:val="605E5C"/>
      <w:shd w:val="clear" w:color="auto" w:fill="E1DFDD"/>
    </w:rPr>
  </w:style>
  <w:style w:type="paragraph" w:styleId="BalloonText">
    <w:name w:val="Balloon Text"/>
    <w:basedOn w:val="Normal"/>
    <w:link w:val="BalloonTextChar"/>
    <w:uiPriority w:val="99"/>
    <w:semiHidden/>
    <w:unhideWhenUsed/>
    <w:rsid w:val="00BF38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876"/>
    <w:rPr>
      <w:rFonts w:ascii="Segoe UI" w:hAnsi="Segoe UI" w:cs="Segoe UI"/>
      <w:sz w:val="18"/>
      <w:szCs w:val="18"/>
      <w:lang w:eastAsia="en-US"/>
    </w:rPr>
  </w:style>
  <w:style w:type="character" w:styleId="Emphasis">
    <w:name w:val="Emphasis"/>
    <w:basedOn w:val="DefaultParagraphFont"/>
    <w:uiPriority w:val="20"/>
    <w:qFormat/>
    <w:rsid w:val="002C124B"/>
    <w:rPr>
      <w:i/>
      <w:iCs/>
    </w:rPr>
  </w:style>
  <w:style w:type="character" w:styleId="CommentReference">
    <w:name w:val="annotation reference"/>
    <w:basedOn w:val="DefaultParagraphFont"/>
    <w:uiPriority w:val="99"/>
    <w:semiHidden/>
    <w:unhideWhenUsed/>
    <w:rsid w:val="00E87220"/>
    <w:rPr>
      <w:sz w:val="16"/>
      <w:szCs w:val="16"/>
    </w:rPr>
  </w:style>
  <w:style w:type="paragraph" w:styleId="CommentText">
    <w:name w:val="annotation text"/>
    <w:basedOn w:val="Normal"/>
    <w:link w:val="CommentTextChar"/>
    <w:uiPriority w:val="99"/>
    <w:semiHidden/>
    <w:unhideWhenUsed/>
    <w:rsid w:val="00E87220"/>
    <w:rPr>
      <w:sz w:val="20"/>
      <w:szCs w:val="20"/>
    </w:rPr>
  </w:style>
  <w:style w:type="character" w:customStyle="1" w:styleId="CommentTextChar">
    <w:name w:val="Comment Text Char"/>
    <w:basedOn w:val="DefaultParagraphFont"/>
    <w:link w:val="CommentText"/>
    <w:uiPriority w:val="99"/>
    <w:semiHidden/>
    <w:rsid w:val="00E87220"/>
    <w:rPr>
      <w:lang w:eastAsia="en-US"/>
    </w:rPr>
  </w:style>
  <w:style w:type="paragraph" w:styleId="CommentSubject">
    <w:name w:val="annotation subject"/>
    <w:basedOn w:val="CommentText"/>
    <w:next w:val="CommentText"/>
    <w:link w:val="CommentSubjectChar"/>
    <w:uiPriority w:val="99"/>
    <w:semiHidden/>
    <w:unhideWhenUsed/>
    <w:rsid w:val="00E87220"/>
    <w:rPr>
      <w:b/>
      <w:bCs/>
    </w:rPr>
  </w:style>
  <w:style w:type="character" w:customStyle="1" w:styleId="CommentSubjectChar">
    <w:name w:val="Comment Subject Char"/>
    <w:basedOn w:val="CommentTextChar"/>
    <w:link w:val="CommentSubject"/>
    <w:uiPriority w:val="99"/>
    <w:semiHidden/>
    <w:rsid w:val="00E8722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802">
      <w:bodyDiv w:val="1"/>
      <w:marLeft w:val="0"/>
      <w:marRight w:val="0"/>
      <w:marTop w:val="0"/>
      <w:marBottom w:val="0"/>
      <w:divBdr>
        <w:top w:val="none" w:sz="0" w:space="0" w:color="auto"/>
        <w:left w:val="none" w:sz="0" w:space="0" w:color="auto"/>
        <w:bottom w:val="none" w:sz="0" w:space="0" w:color="auto"/>
        <w:right w:val="none" w:sz="0" w:space="0" w:color="auto"/>
      </w:divBdr>
    </w:div>
    <w:div w:id="132021180">
      <w:bodyDiv w:val="1"/>
      <w:marLeft w:val="0"/>
      <w:marRight w:val="0"/>
      <w:marTop w:val="0"/>
      <w:marBottom w:val="0"/>
      <w:divBdr>
        <w:top w:val="none" w:sz="0" w:space="0" w:color="auto"/>
        <w:left w:val="none" w:sz="0" w:space="0" w:color="auto"/>
        <w:bottom w:val="none" w:sz="0" w:space="0" w:color="auto"/>
        <w:right w:val="none" w:sz="0" w:space="0" w:color="auto"/>
      </w:divBdr>
    </w:div>
    <w:div w:id="178980216">
      <w:bodyDiv w:val="1"/>
      <w:marLeft w:val="0"/>
      <w:marRight w:val="0"/>
      <w:marTop w:val="0"/>
      <w:marBottom w:val="0"/>
      <w:divBdr>
        <w:top w:val="none" w:sz="0" w:space="0" w:color="auto"/>
        <w:left w:val="none" w:sz="0" w:space="0" w:color="auto"/>
        <w:bottom w:val="none" w:sz="0" w:space="0" w:color="auto"/>
        <w:right w:val="none" w:sz="0" w:space="0" w:color="auto"/>
      </w:divBdr>
    </w:div>
    <w:div w:id="477962738">
      <w:bodyDiv w:val="1"/>
      <w:marLeft w:val="0"/>
      <w:marRight w:val="0"/>
      <w:marTop w:val="0"/>
      <w:marBottom w:val="0"/>
      <w:divBdr>
        <w:top w:val="none" w:sz="0" w:space="0" w:color="auto"/>
        <w:left w:val="none" w:sz="0" w:space="0" w:color="auto"/>
        <w:bottom w:val="none" w:sz="0" w:space="0" w:color="auto"/>
        <w:right w:val="none" w:sz="0" w:space="0" w:color="auto"/>
      </w:divBdr>
    </w:div>
    <w:div w:id="491943735">
      <w:bodyDiv w:val="1"/>
      <w:marLeft w:val="0"/>
      <w:marRight w:val="0"/>
      <w:marTop w:val="0"/>
      <w:marBottom w:val="0"/>
      <w:divBdr>
        <w:top w:val="none" w:sz="0" w:space="0" w:color="auto"/>
        <w:left w:val="none" w:sz="0" w:space="0" w:color="auto"/>
        <w:bottom w:val="none" w:sz="0" w:space="0" w:color="auto"/>
        <w:right w:val="none" w:sz="0" w:space="0" w:color="auto"/>
      </w:divBdr>
    </w:div>
    <w:div w:id="668558831">
      <w:bodyDiv w:val="1"/>
      <w:marLeft w:val="0"/>
      <w:marRight w:val="0"/>
      <w:marTop w:val="0"/>
      <w:marBottom w:val="0"/>
      <w:divBdr>
        <w:top w:val="none" w:sz="0" w:space="0" w:color="auto"/>
        <w:left w:val="none" w:sz="0" w:space="0" w:color="auto"/>
        <w:bottom w:val="none" w:sz="0" w:space="0" w:color="auto"/>
        <w:right w:val="none" w:sz="0" w:space="0" w:color="auto"/>
      </w:divBdr>
    </w:div>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207378153">
      <w:bodyDiv w:val="1"/>
      <w:marLeft w:val="0"/>
      <w:marRight w:val="0"/>
      <w:marTop w:val="0"/>
      <w:marBottom w:val="0"/>
      <w:divBdr>
        <w:top w:val="none" w:sz="0" w:space="0" w:color="auto"/>
        <w:left w:val="none" w:sz="0" w:space="0" w:color="auto"/>
        <w:bottom w:val="none" w:sz="0" w:space="0" w:color="auto"/>
        <w:right w:val="none" w:sz="0" w:space="0" w:color="auto"/>
      </w:divBdr>
    </w:div>
    <w:div w:id="1582325963">
      <w:bodyDiv w:val="1"/>
      <w:marLeft w:val="0"/>
      <w:marRight w:val="0"/>
      <w:marTop w:val="0"/>
      <w:marBottom w:val="0"/>
      <w:divBdr>
        <w:top w:val="none" w:sz="0" w:space="0" w:color="auto"/>
        <w:left w:val="none" w:sz="0" w:space="0" w:color="auto"/>
        <w:bottom w:val="none" w:sz="0" w:space="0" w:color="auto"/>
        <w:right w:val="none" w:sz="0" w:space="0" w:color="auto"/>
      </w:divBdr>
    </w:div>
    <w:div w:id="1695156354">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ompetrol.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D88AB-0846-451A-89C4-7429B0E1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Greavu, Paul</cp:lastModifiedBy>
  <cp:revision>6</cp:revision>
  <dcterms:created xsi:type="dcterms:W3CDTF">2022-12-06T10:29:00Z</dcterms:created>
  <dcterms:modified xsi:type="dcterms:W3CDTF">2022-12-06T12:53:00Z</dcterms:modified>
</cp:coreProperties>
</file>